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ZD11.034617 vom 12. Mai 2014</w:t>
      </w:r>
    </w:p>
    <w:p>
      <w:r>
        <w:t>VD Tribunal cantonal, 2014-05-12, FR</w:t>
      </w:r>
    </w:p>
    <w:p>
      <w:r>
        <w:rPr>
          <w:b/>
        </w:rPr>
        <w:t xml:space="preserve">Quelle: </w:t>
      </w:r>
      <w:r>
        <w:t>https://mcp.opencaselaw.ch/entscheid/vd_gerichte_ZD11.034617</w:t>
      </w:r>
    </w:p>
    <w:p>
      <w:r>
        <w:t>FR: VD_GERICHTE ZD11.034617 du 12 mai 2014</w:t>
      </w:r>
    </w:p>
    <w:p>
      <w:r>
        <w:t>IT: VD_GERICHTE ZD11.034617 del 12 maggio 2014</w:t>
      </w:r>
    </w:p>
    <w:p>
      <w:pPr>
        <w:pStyle w:val="Heading2"/>
      </w:pPr>
      <w:r>
        <w:t>Erwägungen</w:t>
      </w:r>
    </w:p>
    <w:p>
      <w:r>
        <w:rPr>
          <w:b/>
        </w:rPr>
        <w:t>E. 1</w:t>
      </w:r>
    </w:p>
    <w:p>
      <w:r>
        <w:t>Coxarthrose bilatérale, plus avancée à gauche: présente depuis plusieurs années mais en aggravation actuellement. Le patient a beaucoup de peine à se déplacer en raison des douleurs et utilise une canne pour se déplacer. Lors d'un avis orthopédique en février 2011, pas de proposition pour une intervention chirurgicale en raison de l'état général limite du patient. Un 2ème avis orthopédique est à prévoir afin de réévaluer la possibilité d'une pose de prothèse totale des hanches.</w:t>
      </w:r>
    </w:p>
    <w:p>
      <w:r>
        <w:rPr>
          <w:b/>
        </w:rPr>
        <w:t>E. 2</w:t>
      </w:r>
    </w:p>
    <w:p>
      <w:r>
        <w:t>Cirrhose d'origine mixte virale (traitée avec succès) et ancien alcoolisme: la fonction hépatique reste stable, actuellement Child-Pugh à 5 points. Un suivi aux six mois doit être effectué.</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w:t>
      </w:r>
    </w:p>
    <w:p>
      <w:r>
        <w:t>- 22 -</w:t>
      </w:r>
    </w:p>
    <w:p>
      <w:r>
        <w:rPr>
          <w:b/>
        </w:rPr>
        <w:t>E. 6</w:t>
      </w:r>
    </w:p>
    <w:p>
      <w:r>
        <w:t>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trois-quarts d’une rente s’il est invalide à 60% au moins et à une rente entière s’il est invalide à 70% au moins.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9C_128/2013 du 4 novembre 2013 consid. 3.1 et les références). c)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w:t>
      </w:r>
    </w:p>
    <w:p>
      <w:r>
        <w:t>- 23 -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(TF 9C_171/2013 du 27 novembre 2013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et les références ; TF 9C_171/2013 du 27 novembre 2013 consid. 3.1). Bien que les rapports d'examen réalisés par un SMR en vertu de l'art. 49 al. 2 RAI (règlement fédéral du 17 janvier 1961 sur l’assurance-invalidité ; RS 831.201) ne soient pas des expertises au sens de l'art. 44 LPGA et ne soient pas soumis aux mêmes exigences formelles (ATF 135 V 254 consid. 3.4 p. 258), ils peuvent néanmoins revêtir la même valeur probante que des expertises, dans la mesure où ils satisfont aux exigences définies par la jurisprudence en matière d'expertise médicale (consid. 3.3.2 non publié de l'ATF 135 V 254 et les références ; TF 9C_159/2013 du 22 juillet 2013 consid. 4.1).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w:t>
      </w:r>
    </w:p>
    <w:p>
      <w:r>
        <w:t>- 24 - se prononcer en faveur de leurs patients. Ainsi, il convient en principe d’attacher plus de poids aux constatations d’un expert qu’à celles du médecin traitant (ATF 125 V 351 consid. 3b/cc et les références citées ; TF 9C_142/2011 du 9 novembre 2011 consid. 4.1). 4. En l’occurrence, se fondant en particulier sur l’examen clinique orthopédique effectué par le Dr Z.________ du SMR, l’office AI retient que l’assuré présente certes une incapacité totale de travail dans son activité habituelle d’antiquaire-brocanteur, mais qu’une capacité de travail de 100% dans une activité adaptée et respectant ses limitations fonctionnelles est exigible de l’intéressé dès le mois de juin [recte : juillet] 2006. De son côté, le recourant conteste ce point de vue. Il se prévaut d’une invalidité suffisant à l’octroi d’une rente entière, se fondant en cela sur l’avis de son médecin traitant. Il fait encore valoir un trouble psychique invalidant. a) Sur le plan somatique, il est constant que l’assuré présente des troubles à la hanche gauche. Dans son rapport du 17 juin 2010, consécutif à l’examen clinique orthopédique effectué le 10 mai précédent, fondé notamment sur le dossier radiologique, le Dr Z.________ pose le diagnostic se répercutant sur la capacité de travail de coxarthrose primaire à gauche. Ce diagnostic rejoint celui du Dr T.________ (rapport médical indexé le 26 novembre 2009). De leur côté, les Drs K.________ (rapport du 6 novembre 2009), R.________ (attestation du 19 juillet 2011) et S.________ (rapport du 15 juin 2011) confirment l’existence d’une coxarthrose bilatérale plus avancée à gauche. Selon le Dr Z.________, cette dernière s’inscrit dans un contexte de lombalgies chroniques, accompagnées d’une scoliose dégénérative et de discopathies pluriétagées, affectant également la capacité de travail de l’assuré. Hormis le Dr S.________, qui évoque une sciatique, ni le Dr R.________, ni le Dr T.________ ne font état de problèmes dorsaux. Aucun médecin ne les remet toutefois en cause. Quant à la capacité de travail</w:t>
      </w:r>
    </w:p>
    <w:p>
      <w:r>
        <w:t>- 25 - dans une activité adaptée, le Dr Z.________ considère qu’elle est entière, à condition de respecter les limitations fonctionnelles énoncées, à savoir un travail sédentaire ou semi-sédentaire, sans port de charges. A ses yeux, l’activité d’antiquaire-brocanteur n’est plus exigible, à moins d’une arthroplastie totale de la hanche effectuée avec succès, qui autoriserait la reprise d’une telle activité, en évitant toutefois de soulever des charges lourdes. Ces conclusions correspondent dans une large mesure à celles du Dr T.________ (rapport médical indexé le 26 novembre 2009), lequel ne se prononce cependant pas sur la capacité de travail de l’assuré dans une activité adaptée. Il en va à cet égard de même des Drs R.________ et S.________. S’agissant des autres troubles somatiques mis en exergue par les médecins ayant examiné l’assuré, on ne peut que constater que le tabagisme chronique, l’hypertension artérielle, le status post hémorragie digestive basse sur fissure anale et la cirrhose hépatique secondaire à une hépatite C sont diagnostiqués sans influence sur la capacité de travail par les Drs T.________ et Z.________. Même si le Dr R.________ relève que la fonction hépatique de l’assuré – au demeurant stabilisée – nécessite un suivi, il ne prétend pas que la cirrhose, traitée, affecterait la capacité de travail. En ce qui concerne par ailleurs la toxicodépendance et le syndrome de dépendance à l’alcool, aucun rapport médical n’indique qu’ils auraient une influence sur la capacité de travail, ce qui serait au demeurant peu probable, dans la mesure où le recourant est considéré actuellement comme abstinent par les Drs Z.________ et T.________. Quant à l’état de fatigue invoqué par le recourant, s’appuyant en cela sur l’attestation du 19 juillet 2011 du Dr R.________, le Dr Z.________ rend compte d’un tel état en 2006. Dans son rapport, il note qu’à cette époque l’assuré a consulté la Policlinique C.________ en raison de cette fatigue ainsi que pour des douleurs à la hanche gauche. Au cours de l’examen, une cirrhose hépatique et une hépatite C génotype 4 ont été mises en évidence, pour lesquelles l’assuré a bénéficié d’un traitement antiviral. Ces troubles, auxquels s’ajoutaient des douleurs à la hanche gauche, seraient ainsi susceptibles d’expliquer, au moins en partie, l’état de fatigue ressenti alors par l’intéressé. En effet, si celui-ci se plaint toujours</w:t>
      </w:r>
    </w:p>
    <w:p>
      <w:r>
        <w:t>- 26 - en 2010 de douleurs à la hanche gauche, il ne signale en revanche plus de fatigue au Dr Z.________. Au reste, s’écartant sans explications des constatations du Dr Z.________ et reprenant mot pour mot les observations consignées par le Dr T.________ dans son rapport de novembre 2009, l’avis du Dr R.________, qui mentionne une fatigue chronique avec asthénie, ne peut qu’être écarté. Il ne saurait enfin être tenu compte des troubles oculaires allégués par le recourant, ceux-ci n’étant nullement documentés. b) Sur le plan psychique, le recourant se prévaut de troubles de la personnalité, potentiellement à l’origine d’une dépendance à l’alcool et à d’autres substances psychotropes. Se référant aux rapports établis à la suite d’hospitalisations successives en milieu psychiatrique au cours de l’année 1999, il a sollicité la mise en œuvre d’une expertise psychiatrique, aux fins de faire la lumière sur l’origine maladive éventuelle de ses troubles psycho-sociaux. Le magistrat instructeur a fait droit à cette requête, en confiant au Dr L.________ le soin de réaliser une telle expertise. Les atteintes à la santé psychique peuvent, comme les atteintes physiques, provoquer une invalidité au sens de l'art. 8 LPGA.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201 consid. 7.1.1 p. 211; 102 V 165; cf. aussi ATF 127 V 294 consid. 4c p. 298 ; TF 9C_776/2009 du 11 juin 2010 consid. 2.1). Dans son rapport du 30 juillet 2012, l’expert judiciaire diagnostique un syndrome de dépendance aux opiacés (F 11.25) et un</w:t>
      </w:r>
    </w:p>
    <w:p>
      <w:r>
        <w:t>- 27 - trouble mixte de la personnalité (F 61.0). S’agissant du premier cité, le Dr L.________ expose que les informations à sa disposition confirment le sevrage de l’intéressé aux drogues dures, telles que l’héroïne. Il en va de même en ce qui concerne l’alcool. Si en revanche l’assuré admet une consommation de cannabis qu’il dit occasionnelle, soit à moins d’une fois par mois, l’expert estime qu’il ne se justifie pas de l’ériger en pathologie, ce d’autant moins qu’elle n’induit pas de souffrance ni de trouble du comportement. L’expert justifie dès lors ce diagnostic par les fortes doses de morphine qui sont prescrites à l’assuré, dans le contexte d’une coxarthrose et de lombosciatalgies. Relevant la tolérance au produit eu égard aux doses prescrites (424 mg par jour), l’expert plaide pour une réduction graduelle de la posologie, l’intéressé admettant lui-même qu’il aurait de la peine à se passer de cette substance. Sous réserve d’une diminution progressive de la prescription de morphine, l’expert considère toutefois que le traitement actuel est adéquat tant en qualité qu’en quantité. En ce qui concerne le trouble mixte de la personnalité, ce diagnostic repose sur divers dysfonctionnements de l’assuré, tels que des éléments dyssociaux (condamnations pénales), des troubles du comportement (impulsivité), un rapport difficile avec les substances psycho-actives et une présentation actuelle faite de passivité et de régression. Sans qu’il doive être considéré comme une maladie mentale au sens strict, le trouble de la personnalité peut cependant expliquer une certaine fragilité au stress et une carence des facultés adaptatives. Pour autant, il ne se justifie pas de lui conférer une valeur incapacitante en soi. Niant ainsi tout caractère invalidant aux pathologies retenues, l’expert indique cependant que la tolérance aux opiacés est de nature à altérer la qualité de vie et à induire des troubles attentionnels ainsi que des oublis, de sorte que l’assuré se doit d’éviter de conduire un véhicule automobile ou de travailler avec des machines potentiellement dangereuses. Dans cette mesure, les activités d’opérateur de production léger, téléphoniste dans un call center et surveillant de parking, retenues par l’intimé, paraissent appropriées. Recherchant par ailleurs d’autres pathologies psychiatriques éventuelles, l’expert n’a trouvé ni trouble anxieux spécifique, ni atteinte cérébro-organique, ni éléments psychotiques florides. Le Dr L.________ termine son appréciation en relevant que le</w:t>
      </w:r>
    </w:p>
    <w:p>
      <w:r>
        <w:t>- 28 - pronostic n’est pas nécessairement mauvais, dès lors que l’assuré conserve des ressources et ne relève pas d’une psychopathologie grave. Tout en estimant que le recourant ne présente pas de limitation au plan psychiatrique, l’expert note que son système de valeurs diffère des normes de performance communément admises dans le marché ordinaire du travail. Dans ce sens, la situation de l’assuré revêt plutôt un caractère social que strictement médical. Il ne fait du reste l’objet d’aucun suivi sur le plan psychique. Au vrai, en l’absence d’un substrat médical pertinent entravant de manière significative la capacité de travail et de gain, la jurisprudence concernant les facteurs psychosociaux ou socioculturels et celle concernant la dépendance, sous quelque forme que ce soit, ne trouvent pas à s’appliquer dans le cas d’espèce. Dans ces conditions, force est de conclure à l’absence d’éléments médicaux concrets plaidant en faveur d’une pathologie psychique incapacitante susceptible d’être prise en compte dans le cadre de la présente procédure. c) De l’ensemble des considérations qui précèdent, on retiendra que le recourant présente, tant sur le plan physique que psychique, une capacité de travail entière dans une activité réputée adaptée à ses limitations fonctionnelles, à tout le moins depuis le mois de juillet 2006. Tant l’avis du Dr Z.________ que le rapport de l’expert L.________ satisfont aux exigences jurisprudentielles pour leur conférer pleine valeur probante. Fruits d’investigations complètes et approfondies, ils expliquent en quoi l’exercice d’une profession adaptée à l’état de santé du recourant est exigible à 100%. Aucun rapport médical subséquent n’autorise à s’éloigner de leur appréciation. Il s’ensuit que les conclusions convaincantes de chacun de ces médecins doivent être suivies, dès lors que le dossier constitué ne fait état d’aucun élément qui aurait été ignoré par l’un ou l’autre de ces deux spécialistes. d) Cela étant, le recourant sollicite l’extension de la saisine de la Cour de céans à l’arthroplastie subie le 27 mars 2012, soit à un fait postérieur à la décision entreprise, datée du 11 août 2011. Il estime qu’un examen somatique complémentaire permettrait de déterminer si une amélioration de sa capacité de travail pourrait être envisagée, une fois</w:t>
      </w:r>
    </w:p>
    <w:p>
      <w:r>
        <w:t>- 29 - passée la période d’incapacité de travail totale médicalement justifiée à la suite d’une intervention de ce type. Dans l’intervalle, il demande donc que le droit à des prestations de l’assurance-invalidité lui soit reconnu. Se prévalant aussi du principe d’économie de procédure, il soutient que la mise en œuvre d’une telle mesure lui éviterait de devoir déposer, le cas échéant, une nouvelle demande de prestations auprès de l’office intimé.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 243;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ATF 122 V 34 consid. 2a p. 36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(Fritz Gygi, Bundesverwaltungsrecht, 2e éd., 1983, p. 43) et les droits procéduraux des parties doivent être respectés (Ulrich Meyer/Isabel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ATF</w:t>
      </w:r>
    </w:p>
    <w:p>
      <w:r>
        <w:t>- 30 - 130 V 138 consid. 2.1 p. 140 ; TF 9C_711/2011 du 26 avril 2012 consid. 3.1). A lire le recourant, l’arthroplastie aurait eu lieu le 27 mars 2012, soit postérieurement à la décision dont est recours, datée du 11 août 2011. Se pose dès lors la question de savoir si les conditions formulées par la jurisprudence à un élargissement du procès sont réalisées dans le cadre de la présente procédure. Tel n’est à l’évidence pas le cas. Si la pose d’une prothèse totale de la hanche se rapporte certes à une pathologie connue au moment de la décision litigieuse, à savoir la coxarthrose, on constate que cette intervention, pour autant qu’elle ait eu lieu, n’est aucunement documentée. Contrairement à ce qu’il a annoncé dans son écriture du 17 avril 2012, le recourant n’a en effet produit aucune pièce à propos de cette opération. En l’absence d’éléments médicaux précis (protocole opératoire, compte-rendu hospitaliser, avis de médecins), il n’est en particulier pas possible de déterminer quelle serait l’incidence de l’intervention subie sur la capacité de travail du recourant. Il suit de là que cette question n’est pas, tant s’en faut, en état d’être jugée, l’administration n’ayant, pour cette raison même, pas été en mesure de se prononcer à ce sujet. Dans ces conditions, l’arthroplastie invoquée par le recourant ne saurait être intégrée à la présente procédure. Au surplus, le fait que le recourant sollicite lui-même la mise en œuvre d’un examen somatique complémentaire sur ce point dans le cadre de la présente procédure suffit à démontrer que dite question n’est pas en état d’être jugée. e) En définitive, en déniant le droit du recourant à une rente d’invalidité, au motif que sa capacité de travail est entière dans une activité adaptée à ses limitations fonctionnelles et qu’il ne subit de ce fait pas de préjudice ouvrant le droit à une telle prestation, la décision attaquée échappe à la critique. Il s’ensuit que le recours, en tous points mal fondé, doit être rejeté, ce qui conduit à la confirmation de la décision rendue le 11 août 2011 par l’office intimé.</w:t>
      </w:r>
    </w:p>
    <w:p>
      <w:r>
        <w:t>- 31 - 5.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 VD). Toutefois, dès lors que le recourant est au bénéfice de l’assistance judiciaire, ces frais sont laissés à la charge de l’Etat. b) Le recourant a obtenu, au titre de l’assistance judiciaire, la commission d’office d’un avocat en la personne de Me Anne-Sylvie Dupont à compter du 15 septembre 2011 jusqu’au terme de la présente procédure (art. 118 al. 1 let. c CPC, applicable par renvoi de l’art. 18 al. 5 LPA-VD). Le 26 avril 2013, Me Dupont a produit le relevé des opérations effectuées dans le cadre de la présente procédure. Son activité a été contrôlée au regard de la conduite du procès et rentre globalement dans le cadre de l’accomplissement du mandat confié, de sorte qu’elle doit être arrêtée à 11 heures 39 au total, au tarif horaire de 180 fr. (art. 2 al. 1 RAJ [règlement du 7 décembre 2010 sur l’assistance judiciaire en matière civile ; RSV 211.02.3]), à quoi s’ajoute la TVA au taux de 8%, ce qui représente un montant total de 2'214 fr. 20 pour l’ensemble de l’activité déployée dans le cadre de la présente cause.</w:t>
      </w:r>
    </w:p>
    <w:p>
      <w:r>
        <w:t>- 32 -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c) Succombant, le recourant ne saurait prétendre à l’indemnité de dépens qu’il sollicite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