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ZD11.034299 vom 3. Juli 2013</w:t>
      </w:r>
    </w:p>
    <w:p>
      <w:r>
        <w:t>VD Tribunal cantonal, 2013-07-03, FR</w:t>
      </w:r>
    </w:p>
    <w:p>
      <w:r>
        <w:rPr>
          <w:b/>
        </w:rPr>
        <w:t xml:space="preserve">Quelle: </w:t>
      </w:r>
      <w:r>
        <w:t>https://mcp.opencaselaw.ch/entscheid/vd_gerichte_ZD11.034299</w:t>
      </w:r>
    </w:p>
    <w:p>
      <w:r>
        <w:t>FR: VD_GERICHTE ZD11.034299 du 3 juillet 2013</w:t>
      </w:r>
    </w:p>
    <w:p>
      <w:r>
        <w:t>IT: VD_GERICHTE ZD11.034299 del 3 luglio 2013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En définitive, il convient de réformer la décision rendue le 10 août 2011 par l'OAI en ce sens que L.________ a droit à une demi-rente d'invalidité dès le 1er décembre 2008. En dérogation à l'art. 61 let. a LPGA, la procédure de recours en matière de contestations portant sur l'octroi ou le refus de prestations de l'assurance-invalidité devant le tribunal cantonal des assurances est soumise à des frais de justice. Selon la pratique de la Cour de céans, se référant à l'art. 69 al. 1bis LAI, cela vaut également pour l'OAI (CASSO AI</w:t>
      </w:r>
    </w:p>
    <w:p>
      <w:r>
        <w:t>- 22 - 230/11 du 23 avril 2012, consid. 7). En l'espèce, compte tenu de l'ampleur de la procédure, les frais de justice doivent être arrêtés à 400 francs. Obtenant gain de cause, la recourante, assistée d'un mandataire professionnel, a droit à des dépens, arrêtés à 2'500 fr. (art. 61 let. g LPGA,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