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ZD11.031837 vom 4. Mai 2015</w:t>
      </w:r>
    </w:p>
    <w:p>
      <w:r>
        <w:t>VD Tribunal cantonal, 2015-05-04, FR</w:t>
      </w:r>
    </w:p>
    <w:p>
      <w:r>
        <w:rPr>
          <w:b/>
        </w:rPr>
        <w:t xml:space="preserve">Quelle: </w:t>
      </w:r>
      <w:r>
        <w:t>https://mcp.opencaselaw.ch/entscheid/vd_gerichte_ZD11.031837</w:t>
      </w:r>
    </w:p>
    <w:p>
      <w:r>
        <w:t>FR: VD_GERICHTE ZD11.031837 du 4 mai 2015</w:t>
      </w:r>
    </w:p>
    <w:p>
      <w:r>
        <w:t>IT: VD_GERICHTE ZD11.031837 del 4 maggio 2015</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Dans le cas présent, compte tenu des féries d'été (art. 38 al. 4 let. b LPGA) le recours a été formé en temps utile et dans le respect des règles de forme prévues par la loi (art. 61 let. b LPGA notamment), de sorte qu'il est recevable. b) Selon l'art. 93 let. a LPA-VD (loi cantonale vaudoise du 28 octobre 2008 sur la procédure administrative, RSV 173.36), qui s’applique aux recours et contestations par voie d’action dans le domaine des assurances sociales (art. 2 al. 1 let. c LPA-VD), la Cour des assurances sociales du</w:t>
      </w:r>
    </w:p>
    <w:p>
      <w:r>
        <w:t>- 33 - Tribunal cantonal, composée de trois magistrats (art. 94 al. 4 LPA-VD), est compétente pour statuer.</w:t>
      </w:r>
    </w:p>
    <w:p>
      <w:r>
        <w:rPr>
          <w:b/>
        </w:rPr>
        <w:t>E. 2</w:t>
      </w:r>
    </w:p>
    <w:p>
      <w:r>
        <w:t>Est litigieux en l'espèce le droit de la recourante à une rente d'invalidité, respectivement l'évaluation de la capacité de travail retenue par le SMR, qui s'est fondé sur l'expertise du Dr Z.________ du 8 janvier 2011. Cet expert, spécialiste en médecine interne générale, a considéré que l'assurée avait été en incapacité totale de travail du fait de l'atteinte à la santé du 9 juillet 2008 au 31 mars 2010, mais que, dès le 1er avril 2010 elle avait recouvré une capacité de travail de 50 % au moins dans l'activité habituelle de dessinatrice en bâtiment, soit proche de son taux d'activité antérieur; il a par ailleurs considéré que, dans une activité adaptée lui permettant de mener des tâches à sa guise, notamment par un travail à domicile, la capacité de travail résiduelle de la recourante dès le 1er avril 2010 était de 80 %. Dans la décision querellée, après comparaison des revenus avec et sans invalidité et compte tenu d'une part active de 55 %, d'une part ménagère de 45 % et d'empêchements dans cette part ménagère à hauteur de 40,4 %, l'OAI a abouti à un degré d'invalidité de 23,18 %, soit à un degré d'invalidité inférieur au minimum légal requis de 40 % ouvrant le droit à une rente d'invalidité. Il a ainsi refusé à l'assurée toute rente d'invalidité. Dans sa réponse du 11 septembre 2011, l'OAI a toutefois conclu à la réforme partielle de sa décision dans le sens de la reconnaissance du droit à une rente entière d'invalidité limitée dans le temps, dès le 1er août 2009 (6 mois après le dépôt de la demande du 24 février 2009), compte tenu d'un degré d'invalidité de 73 % (incapacité de travail totale pour une activité lucrative à 55 % et des empêchements de 40,4 % dans l'activité ménagère de 45 %), jusqu'au 30 juin 2010 (3 mois après l'amélioration dès le 1er avril 2010). Mais dans ses écritures ultérieures, l'intimé a de nouveau conclu au rejet pur et simple du recours. L'évaluation de la capacité de travail retenue par l'OAI est litigieuse, la recourante critiquant l'appréciation qui en a été faite par l'expert Dr Z.________ en faisant valoir que l'expertise n'a pas la valeur probante requise par la jurisprudence dès lors que son auteur n'est pas spécialisé en rhumatologie et que la maladie qu'elle présente ressortit à cette spécialité médicale. Elle reproche également à l'expert de ne pas avoir tenu compte de l'ensemble des rapports médicaux figurant à son dossier et considère que</w:t>
      </w:r>
    </w:p>
    <w:p>
      <w:r>
        <w:t>- 34 - l'évaluation de sa capacité de travail résiduelle dans son activité habituelle est en contradiction avec les limitations fonctionnelles retenues et le descriptif que son dernier employeur a fait de son activité de dessinatrice en bâtiment. La recourante a donc requis la mise en œuvre d'une expertise judiciaire pluridisciplinaire, à confier principalement à un rhumatologue.</w:t>
      </w:r>
    </w:p>
    <w:p>
      <w:r>
        <w:rPr>
          <w:b/>
        </w:rPr>
        <w:t>E. 3</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au moins donne droit à un quart de rente, un taux de 50 % à une demi-rente, un taux de 60 % à trois quarts de rente et un taux de 70 % à une rente entière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w:t>
      </w:r>
    </w:p>
    <w:p>
      <w:r>
        <w:t>- 35 - l'assuré (ATF 125 V 256, consid. 4, 115 V 133, consid. 2; TF, I 312/06 arrêt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arrêt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Sans remettre en cause le principe de la libre appréciation des preuves, la jurisprudence récente du Tribunal fédéral a posé quelques principes relatifs à la manière d’apprécier certains types d’expertises ou de rapports médicaux. Notre Haute Cour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cf. également ATF 136 V 376). Il a par ailleurs considéré</w:t>
      </w:r>
    </w:p>
    <w:p>
      <w:r>
        <w:t>- 36 - que la valeur probante d’un rapport d’examen établi par un SMR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consid. 1.2.1 in fine,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w:t>
      </w:r>
    </w:p>
    <w:p>
      <w:r>
        <w:rPr>
          <w:b/>
        </w:rPr>
        <w:t>E. 4</w:t>
      </w:r>
    </w:p>
    <w:p>
      <w:r>
        <w:t>En l'espèce, force est de constater, avec la recourante, que l'expertise médicale mise en œuvre par l'intimé ne répond pas aux exigences jurisprudentielles concernant la valeur probante des documents médicaux. On relève notamment que les conclusions relatives aux limitations fonctionnelles et à la capacité de travail résiduelle de l'assurée sont en contradiction notamment avec celles du Dr D.________, spécialiste en rhumatologie (rapport médical du 25 septembre 2009), qui mentionne l'existence d'une vasculite sévère, absente de l'expertise, et du Dr A.________, spécialiste en neurologie (rapport médical du 28 octobre 2009). Le rapport d'expertise est en outre pauvrement documenté en regard de la nature particulièrement complexe de la pathologie dont souffre l'assurée (maladie de Wegener inflammatoire, auto-immune, chronique et récidivante, dont l'évolution est fluctuante mais avec une morbidité et une mortalité importantes) et des effets secondaires du traitement par immuno- suppresseur. Par ailleurs, on s'étonne que l'OAI, respectivement le SMR, n'ait pas approfondi ses investigations médicales après avoir pris connaissance du rapport médical des Drs S.________ et F.________ du 4 avril 2011, lequel fait état d'une péjoration de la fonction rénale, qui n'existait pas au moment de l'expertise du Dr Z.________.</w:t>
      </w:r>
    </w:p>
    <w:p>
      <w:r>
        <w:t>- 37 - Au vu de ces éléments, dans son appréciation des preuves, la Cour de céans a finalement considéré que des doutes quant à la capacité de travail résiduelle de travail effective de la recourante subsistaient. Elle a par conséquent ordonné la mise en œuvre d'une expertise judiciaire pluridisciplinaire, se conformant en cela tant à la jurisprudence récente du Tribunal fédéral en matière de valeur probante (ATF 137 V 210 consid. 1.2.1 in fine, avec les références, ainsi que l’ATF 135 V 465 consid. 4.4) qu'à celle qui exige, dans les cas où les appréciations (d'observation médicale et professionnelle) divergent sensiblement, que l'administration, respectivement le juge confronte les deux évaluations et, au besoin, requière un complément d'instruction (TF 9C_739/2010 arrêt du 1er juin 2011 consid. 2.3, 9C_1035/2009 arrêt du 22 juin 2010 consid. 4.1, in SVR 2011 IV n° 6 p. 18, les deux avec les références citées).</w:t>
      </w:r>
    </w:p>
    <w:p>
      <w:r>
        <w:rPr>
          <w:b/>
        </w:rPr>
        <w:t>E. 5</w:t>
      </w:r>
    </w:p>
    <w:p>
      <w:r>
        <w:t>L'expertise judiciaire a été confiée, avec l'accord des parties, à des spécialistes en médecine physique, en réadaptation orthopédique et en neurologie. Le rapport de synthèse signé des Drs K.________, L.________ et G.________ a été produit le 14 octobre 2014. La Cour de céans observe que dit rapport de synthèse de l'expertise bidisciplinaire réalisée par les spécialistes des E.________ aborde de façon circonstanciée les points litigieux. Les experts se fondent sur des examens complets et en pleine connaissance de l'anamnèse de l'intéressée, prennent en considération ses plaintes et décrivent de façon claire le contexte médical. Enfin leur appréciation de la situation médicale est particulièrement minutieuse, notamment en ce qui concerne les répercussions non seulement de la maladie dont souffre la recourante mais également de celles des effets secondaires découlant du traitement médicamenteux. Les conclusions auxquelles les experts aboutissent en ce qui concerne la capacité résiduelle de travail du recourant sont dûment motivées, de manière systématique et rigoureuse, de sorte qu'elles emportent la conviction de la Cour de céans qui les fait siennes.</w:t>
      </w:r>
    </w:p>
    <w:p>
      <w:r>
        <w:t>- 38 - Les critiques de l'intimé, respectivement du SMR, à l'égard de l'expertise judiciaire paraissent par ailleurs infondées. En premier lieu, il est inexact que l'expertise ne décrit pas une journée type de la recourante. En réponse à la question 2, les experts font état de la façon dont l'intéressée leur a raconté la manière dont se déroulaient ses nuits et ses journées; l'expertise mentionne également les nombreuses visites médicales qui jalonnent le quotidien de l'assurée et décrit ses difficultés et sa répugnance à conduire un véhicule automobile, uniquement par nécessité pour des courses proches de son domicile. Ce dernier point bat en brèche la seconde critique du SMR qui reproche aux experts de ne pas expliquer comment le diagnostic d'encéphalopathie sous corticale modérée évoquant une étiologie toxico-métabolique qu'ils retiennent en page 25 comme ayant une répercussion sur la capacité de travail de l'assurée est par contre sans impact sur la capacité à conduire un véhicule automobile (cf. page 19 du rapport qui indique que l'assurée fait une partie des courses avec la voiture). Le recours extrêmement réduit de l'assurée à la conduite automobile est d'ailleurs confirmé par l'enquête économique du 7 décembre 2009. Quant à l'existence du diagnostic d'encéphalopathie sous corticale modérée évoquant une étiologie toxico-métabolique, elle est corroborée par le Dr A.________ qui a été le premier à l'évoquer dans son rapport médical du 28 octobre 2009. Enfin, on ne voit pas en quoi l'absence de la mention des éléments cliniques de base tels que le poids, la taille ou la mesure de la pression artérielle enlèverait toute valeur probante au rapport d'expertise des E._________. Le SMR ne l'explique d'ailleurs pas. Au demeurant, il suffit de relever que ces données de base ressortaient déjà d'autres rapports médicaux au dossier. En définitive, contrairement à ce que semble soutenir l'intimé, les experts exposent de façon convaincante les raisons pour lesquelles ils sont arrivés à la conclusion que la recourante ne dispose plus d'aucune capacité de travail dans quelque activité professionnelle que ce soit depuis l'apparition de la maladie de Wegener, avec comme premier signe clinique une sialadénite (cf. rapport d'expertise, p. 27). Après avoir exposé que les plaintes de la recourante ne devaient pas être minimisées et conduire à une appréciation insuffisante de sa souffrance, ils expliquent (cf. rapport</w:t>
      </w:r>
    </w:p>
    <w:p>
      <w:r>
        <w:t>- 39 - d'expertise pp. 31 et 31) que l'ensemble du tableau clinique conduit à une incapacité de travail en raison notamment d'une fatigue intense et de difficultés de concentration, de difficultés à se rendre sur les chantiers, à se déplacer en voiture, d'un environnement hostile, avec poussière, fumée, peinture et environnement irritatif. Enfin, les explications données en réponse à la question 7 concernant les répercussions des effets secondaires du traitement médicamenteux sont claires et précises et corroborent les plaintes de la recourante quant à sa fatigue intense et ses troubles cognitifs. Cela étant, la Cour de céans est d'avis que le point de vue des experts concernant la capacité de travail résiduelle de la recourante est objectivement fondé.</w:t>
      </w:r>
    </w:p>
    <w:p>
      <w:r>
        <w:rPr>
          <w:b/>
        </w:rPr>
        <w:t>E. 6</w:t>
      </w:r>
    </w:p>
    <w:p>
      <w:r>
        <w:t>a) En définitive, sur la base du rapport d'expertise judiciaire des spécialistes des HUG, la Cour de céans considère que la recourante ne dispose plus d'aucune capacité de travail dans quelque activité professionnelle que ce soit depuis le mois de septembre 2008, à savoir depuis le moment où le diagnostic d'une sialadénite, premier signe clinique de la maladie de Wegener selon les experts, a été posé. Il reste à déterminer le degré d'invalidité. b)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En cas d’incapacité de travail de longue durée dans la profession ou le domaine d’activité d’un assuré, l’activité qui peut être exigée de lui peut aussi relever d’une autre profession ou d’un autre domaine d’activité (art. 6 LPGA). L’invalidité des assurés n’exerçant pas d’activité lucrative et dont on ne peut raisonnablement exiger qu’ils en entreprennent une est évaluée, en dérogation à la méthode ordinaire de comparaison des revenus, en</w:t>
      </w:r>
    </w:p>
    <w:p>
      <w:r>
        <w:t>- 40 - fonction de l’incapacité à accomplir leurs travaux habituels. Par travaux habituels des personnes travaillant dans le ménage, il faut entendre notamment l’activité usuelle dans le ménage, l’éducation des enfants ainsi que toute activité artistique ou d’utilité publique. C’est la méthode "spécifique" d’évaluation de l’invalidité (art. 8 al. 3 LPGA, 28a al. 2 LAI).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28a al. 3 LAI).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(cf. ATF 133 V 504 consid. 3.3 p. 507 sv., 125 V 146 consid. 2c p. 150, 117 V 194). En l'espèce, l’intimé a constaté que sans atteinte à la santé, le recourante exercerait une activité lucrative à 55 % et qu’elle consacrerait 45 % de son temps à ses activités ménagères. Il n’y pas lieu de revenir sur cette constatation, fondée sur le rapport d’enquête économique sur le ménage du</w:t>
      </w:r>
    </w:p>
    <w:p>
      <w:r>
        <w:rPr>
          <w:b/>
        </w:rPr>
        <w:t>E. 7</w:t>
      </w:r>
    </w:p>
    <w:p>
      <w:r>
        <w:t>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La recourante, qui obtient gain de cause avec l'assistance d'un mandataire professionnel, a droit à des dépens (art. 61 let. g LPGA), qu'il convient d'arrêter à 2'500 francs, à la charge de l'OAI,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