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ZD11.022463 vom 17. Juni 2011</w:t>
      </w:r>
    </w:p>
    <w:p>
      <w:r>
        <w:t>VD Tribunal cantonal, 2011-06-17, FR</w:t>
      </w:r>
    </w:p>
    <w:p>
      <w:r>
        <w:rPr>
          <w:b/>
        </w:rPr>
        <w:t xml:space="preserve">Quelle: </w:t>
      </w:r>
      <w:r>
        <w:t>https://mcp.opencaselaw.ch/entscheid/vd_gerichte_ZD11.022463</w:t>
      </w:r>
    </w:p>
    <w:p>
      <w:r>
        <w:t>FR: VD_GERICHTE ZD11.022463 du 17 juin 2011</w:t>
      </w:r>
    </w:p>
    <w:p>
      <w:r>
        <w:t>IT: VD_GERICHTE ZD11.022463 del 17 giugno 2011</w:t>
      </w:r>
    </w:p>
    <w:p>
      <w:pPr>
        <w:pStyle w:val="Heading2"/>
      </w:pPr>
      <w:r>
        <w:t>Volltext</w:t>
      </w:r>
    </w:p>
    <w:p>
      <w:r>
        <w:t>TRIBUNAL CANTONAL AI 178/11 - 296/2011 CO UR DE S ASSURANCES S OCIALES _____________________________________________ Décision du 17 juin 2011 ____________________ Présidence de M. NEU, juge unique Greffier : Mme Matile ***** Cause pendante entre : P.________ SA, à Lausanne, recourante, et OFFICE DE L'ASSURANCE-INVALIDITE POUR LE CANTON DE VAUD, à Vevey, intimé. _______________ Art. 61 let. a et let. g LPGA; 52 LPA-VD, 55 al. 1 LPA-VD et 94 al. 1 let. a LPA-VD 404</w:t>
      </w:r>
    </w:p>
    <w:p>
      <w:r>
        <w:t>- 2 - Vu l'arrêt rendu le 31 mai 2011 par le Tribunal fédéral (9C_530/2010), qui a admis un recours formé par P.________ SA contre un arrêt rendu le 26 mai 2010 par la Cour des assurances sociales du Tribunal cantonal du canton de Vaud (AI 305/08), en annulant cet arrêt ainsi que la décision de l’Office de l’assurance-invalidité pour le canton de Vaud du 9 mai 2008, la cause étant renvoyée audit office pour qu’il procède à une instruction complémentaire conformément aux considérants et rende une nouvelle décision (ch. 1 du dispositif), et en renvoyant la cause à la Cour des assurances sociales du Tribunal cantonal du canton de Vaud pour nouvelle décision sur les frais judiciaires et les dépens de la procédure cantonale (ch. 3 du dispositif), vu les pièces au dossier; attendu qu'il appartient donc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RS 831.20]), que ceux-ci sont supportés par la partie qui succombe (art. 49 al. 1 LPA-VD),</w:t>
      </w:r>
    </w:p>
    <w:p>
      <w:r>
        <w:t>- 3 - que toutefois, selon l'art. 52 LPA-VD, des frais de procédure ne peuvent être exigés de la Confédération et de l'Etat, auxquels doivent être assimilés les offices chargés de l'exécution de tâches de droit public, comme les offices AI des cantons selon les art. 54 ss LAI, qu’il ne sera donc pas perçu de frais judiciaires pour la procédure devant le Tribunal cantonal ayant conduit à l’arrêt du 26 mai 2010; attendu que le recourant qui obtient totalement ou partiellement gain de cause a droit à des dépens en remboursement des frais qu’il a engagés pour défendre ses intérêts (art. 55 al. 1 LPA-VD ; art. 61 let. g LPGA), qu’en l’espèce, la recourante, qui a certes en définitive obtenu gain de cause, n’a toutefois pas agi avec l’assistance d’un mandataire professionnel ou d’un organisme de protection juridique indépendant, mais par son service interne du contentieux en qualité d’assureur social, de sorte qu’elle n’a pas droit à des dépens à la charge de l’Office intimé (cf. ATF 135 V 473, 126 V 150; art. 55 al. 2 LPA-VD); Par ces motifs, le juge unique p r o n o n c e : I. Pour la procédure de recours devant le Tribunal cantonal dans la cause AI 305/08 jugée le 26 mai 2010, il n’est pas perçu de frais, ni alloué de dépens. II. La présente décision est rendue sans frais. Le juge unique : La greffière :</w:t>
      </w:r>
    </w:p>
    <w:p>
      <w:r>
        <w:t>- 4 - Du La décision qui précède est notifiée à : - P.________ SA,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