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ZD11.022025 vom 17. April 2013</w:t>
      </w:r>
    </w:p>
    <w:p>
      <w:r>
        <w:t>VD Tribunal cantonal, 2013-04-17, FR</w:t>
      </w:r>
    </w:p>
    <w:p>
      <w:r>
        <w:rPr>
          <w:b/>
        </w:rPr>
        <w:t xml:space="preserve">Quelle: </w:t>
      </w:r>
      <w:r>
        <w:t>https://mcp.opencaselaw.ch/entscheid/vd_gerichte_ZD11.022025</w:t>
      </w:r>
    </w:p>
    <w:p>
      <w:r>
        <w:t>FR: VD_GERICHTE ZD11.022025 du 17 avril 2013</w:t>
      </w:r>
    </w:p>
    <w:p>
      <w:r>
        <w:t>IT: VD_GERICHTE ZD11.022025 del 17 aprile 2013</w:t>
      </w:r>
    </w:p>
    <w:p>
      <w:pPr>
        <w:pStyle w:val="Heading2"/>
      </w:pPr>
      <w:r>
        <w:t>Erwägungen</w:t>
      </w:r>
    </w:p>
    <w:p>
      <w:r>
        <w:rPr>
          <w:b/>
        </w:rPr>
        <w:t>E. 4</w:t>
      </w:r>
    </w:p>
    <w:p>
      <w:r>
        <w:t>Capacité de travail dans l’emploi actuel de nettoyeuse (selon description de poste en annexe)? Sur le plan somatique La capacité de travail de nettoyeuse est actuellement nulle en raison des limitations fonctionnelles somatiques qui ne sont pas respectées dans cet emploi.</w:t>
      </w:r>
    </w:p>
    <w:p>
      <w:r>
        <w:t>- 9 - Sur le plan psychiatrique La capacité de travail a toujours été et est actuellement entière dans toute activité.</w:t>
      </w:r>
    </w:p>
    <w:p>
      <w:r>
        <w:rPr>
          <w:b/>
        </w:rPr>
        <w:t>E. 5</w:t>
      </w:r>
    </w:p>
    <w:p>
      <w:r>
        <w:t>Dans l’alternative où l’incapacité de travail serait tout ou partiellement due aux conditions de travail, en cas de résiliation des rapports de travail, dans quel laps de temps peut-on considérer qu’une capacité de travail partielle ou totale pourrait à nouveau être reconnue sur le marché du travail? Sur le plan somatique Sur le marché de l’emploi, l’assurée pourrait mettre en valeur une capacité de travail complète dans une activité adaptée aux limitations fonctionnelles décrites ci-dessus. Sur le plan psychiatrique Il n’y a pas d’incapacité de travail; l'assurée peut exercer à plein temps dans toute activité.</w:t>
      </w:r>
    </w:p>
    <w:p>
      <w:r>
        <w:rPr>
          <w:b/>
        </w:rPr>
        <w:t>E. 6</w:t>
      </w:r>
    </w:p>
    <w:p>
      <w:r>
        <w:t>Remarques personnelles: Néant.</w:t>
      </w:r>
    </w:p>
    <w:p>
      <w:r>
        <w:rPr>
          <w:b/>
        </w:rPr>
        <w:t>E. 7</w:t>
      </w:r>
    </w:p>
    <w:p>
      <w:r>
        <w:t>Dans l’alternative où nous serions en présence d’une fibromyalgie ou d’un trouble somatoforme douloureux, vous aurez l’obligeance, comme l’exige la jurisprudence du TFA, de répondre aux questions suivantes: Cf. ci-dessus. L’assurée présente une affection corporelle chronique limitant l’exigibilité professionnelle à une activité adaptée." Dans un rapport du 9 novembre 2010, le Dr W.________ du Service Médical Régional (SMR) de l'AI a proposé de suivre les conclusions de l'expertise précitée qu'il qualifiait de "convaincante et détaillée". Selon une «Proposition de DDP» du 24 janvier 2011, le droit de l'assurée aux mesures d'ordre professionnel était ouvert compte tenu d'un préjudice économique de 23.02 %. Néanmoins, la faible intégration linguistique de l'assurée, ses capacités d'adaptation et d'apprentissage limitées et son faible niveau scolaire faisaient que des mesures professionnelles n'étaient pas envisageables et ne permettraient pas de réduire le préjudice économique. Cette proposition se terminait ainsi: "Notre assurée pourrait mettre sa capacité de travail résiduelle en valeur dans un travail simple et répétitif dans le domaine industriel léger, par exemple: contrôle ou surveillance d'un processus de production, ouvrière à l'établi dans des activités simples et légères, ou encore ouvrière de conditionnement. Nous aurions pu définir le métier adapté par le biais d'une orientation professionnelle, et octroyer une aide au placement, mais l'assurée a refusé toute mesure, ne s'estimant pas apte à suivre une mesure quelconque, ni à travailler. Elle nous demande l'envoi de notre projet de décision en connaissance de cause."</w:t>
      </w:r>
    </w:p>
    <w:p>
      <w:r>
        <w:t>- 10 - Par projet de décision du 8 mars 2011, l'Office de l'assurance- invalidité pour le canton de Vaud (ci-après: l'OAI ou l'intimé) a informé l'assurée de son intention de rejeter le droit de celle-ci à des prestations AI. Il ressortait des constatations de l'OAI que le degré d'invalidité de 23.02 % était susceptible d'ouvrir le droit à des mesures professionnelles mais que celles-ci n'étaient toutefois pas envisageables car elles ne permettaient pas de réduire le préjudice économique. L'assurée pouvait mettre en valeur sa capacité de travail résiduelle dans un travail simple et répétitif dans le domaine industriel léger. Il avait été proposé à l'assurée une orientation professionnelle afin de définir le métier le plus adapté ainsi qu'une aide au placement. Toutefois, suite au refus de l'assurée de toute mesure, le mandat de réinsertion professionnelle avait été bouclé. Le 16 mars 2011, l'assurée a formulé des objections contre le projet de décision précité invoquant notamment une intervention médicale à un orteil qui se serait mal déroulée ainsi que de fortes douleurs au niveau des hanches. Elle arguait également un grand stress du fait de la dégradation de son état de santé qui avait un impact très négatif sur sa santé psychologique, raisons pour lesquelles elle avait refusé une nouvelle orientation professionnelle. Par lettre du 21 mars 2011, l'OAI a imparti à l'assurée un délai au 25 avril 2011 pour produire un avis médical circonstancié indiquant précisément en quoi son état de santé s'était aggravé depuis l'expertise bidisciplinaire. Le 17 mai 2011, l'OAI a rendu une décision confirmant le projet, faute de nouveau rapport médical. B. Par acte du 13 juin 2011, l'assurée a conclu à l'octroi d'une rente, invoquant le fait que vu son âge et le chômage, il est en réalité très difficile de trouver un travail "fait sur mesure", qu'elle souffrait beaucoup de la colonne vertébrale et d'une dépression sévère.</w:t>
      </w:r>
    </w:p>
    <w:p>
      <w:r>
        <w:t>- 11 - L'intimé a conclu au rejet du recours et au maintien de la décision querellée par réponse du 25 août 2011. Le 21 septembre 2011, la recourante a produit un rapport médical établi à sa demande expresse le 20 septembre 2011 par le Dr R.________. Le médecin traitant y expose que sa patiente souffre de rachialgies et douleurs musculaires diffuses évoquant fortement une fibromyalgie et réfractaires à tout traitement, indiquant encore que malgré moult investigations, aucun substrat organique à ses douleurs n'avait été trouvé.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w:t>
      </w:r>
    </w:p>
    <w:p>
      <w:r>
        <w:t>- 12 - c) Il s'ensuit que la Cour de céans est compétente pour statuer sur le recours interjeté en temps utile contre la décision rendue le 17 mai 2011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de l'incapacité de travail de la recourante compte tenu de son état de santé, et partant, son droit éventuel à la rente.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w:t>
      </w:r>
    </w:p>
    <w:p>
      <w:r>
        <w:t>- 13 -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Elles l'emportent sur les constatations qui peuvent être faites à l'occasion d'un stage d'observation professionnelle et qui sont susceptibles d'être influencées par des éléments subjectifs liés au comportement de l'assuré</w:t>
      </w:r>
    </w:p>
    <w:p>
      <w:r>
        <w:t>- 14 - pendant le stage (TF 9C_462/2009 du 2 décembre 2009, consid. 2.4; TFA I 762/2002 du 6 mai 2003, consid. 2 et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w:t>
      </w:r>
    </w:p>
    <w:p>
      <w:r>
        <w:t>- 15 -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a) Des pièces médicales au dossier il ressort que le Dr K.________ a posé, le 31 mars 2010, le diagnostic de fibromyalgie. Au terme de son rapport du 5 septembre 2010, le Dr R.________ fait état de cervicalgies sur arthrose cervicale et discopathies cervicales diffuses, de douleurs chroniques, fibromyalgie, tunnels carpiens bilatéraux et état dépressif suite aux douleurs chroniques. Dans leur rapport du 27 septembre 2010, les experts ont notamment posé comme diagnostics avec répercussions sur la capacité de travail celui de lombalgies chroniques (hernie discale L4-L5 paramédiane gauche, canal lombaire étroit L4-L5 et syndrome d'amplification des symptômes) ainsi que celui de syndrome du tunnel carpien bilatéral prédominant à droite. Ces conclusions sont en substance concordantes avec celles des Drs K.________ et R.________. b) Les médecins s'accordent aussi sur le diagnostic de fibromyalgie. Il convient cependant d'examiner le caractère invalidant de cette fibromyalgie. Selon le Tribunal fédéral, en effet, il se justifie d'appliquer par analogie les principes développés par la jurisprudence en matière de troubles somatoformes douloureux lorsqu'il s'agit d'apprécier le caractère invalidant d'une fibromyalgie (ATF 132 V 65 consid. 4.1).</w:t>
      </w:r>
    </w:p>
    <w:p>
      <w:r>
        <w:t>- 16 - Dans un arrêt du 12 mars 2004 (ATF 130 V 352), qui a été précisé par la suite (ATF 131 V 49), le Tribunal fédéral a établi que les troubles douloureux somatoformes, respectivement la fibromyalgie, n'entraînent pas, en règle générale, une limitation de longue durée de la capacité de travail pouvant conduire à une invalidité au sens de la loi. Il existe une présomption que ces problèmes de santé ou leurs effets peuvent être surmontés par un effort de volonté raisonnablement exigible de la personne assurée. Le Tribunal fédéral a toutefois reconnu qu'il existe des facteurs déterminés qui, par leur intensité et leur constance, rendent la personne incapable de fournir cet effort de volonté, et il a décrit des critères permettant d'apprécier le caractère invalidant de la fibromyalgie. A cet égard, il faut retenir notamment au premier plan, la présence d'une comorbidité psychiatrique importante par sa gravité, son acuité et sa durée.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lourds handicaps</w:t>
      </w:r>
    </w:p>
    <w:p>
      <w:r>
        <w:t>- 17 - malgré un environnement psychosocial intact) (ATF 132 V 65 consid. 4.2.2). Une expertise psychiatrique est, en principe, nécessaire quand il s'agit de se prononcer sur l'incapacité de travail que les troubles somatoformes douloureux sont susceptibles d'entraîner (ATF 130 V 352 consid. 2.2.2).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et la référence). En l'occurrence, une expertise bidisciplinaire, rhumatologique et psychiatrique, a été effectuée. Il ne résulte pas de cette expertise que la recourante souffre d'une comorbidité psychiatrique; il n'y a pas de perte d'intégration sociale. En ce qui concerne l'état psychique cristallisé, sans évolution possible au plan thérapeutique, résultant d'un processus défectueux de résolution du conflit, mais apportant un soulagement du point de vue psychique (profit primaire tiré de la maladie, fuite dans la maladie), il n'y a pas d'élément au dossier en faveur de la réalisation de ce critère. Enfin, il n'y a pas d'échec de traitements ambulatoires ou stationnaires conformes aux règles de l'art (même avec différents types de traitements), en dépit de l'attitude coopérative de la personne assurée (ATF 130 V 132; 132 V 65 consid. 4.2.2).</w:t>
      </w:r>
    </w:p>
    <w:p>
      <w:r>
        <w:t>- 18 - La présomption que la fibromyalgie ou ses effets peuvent être surmontés par un effort de volonté raisonnablement exigible n'est ainsi pas renversée, étant précisé que l'expertise a toute valeur probante. L'expertise médicale bidisciplinaire tient, en effet, compte des plaintes de la recourante (pp. 6-7 du rapport d'expertise) et des rapports médicaux au dossier ainsi que ceux faisant suite aux examens radiologiques pratiqués (p. 2 et pp. 10-12 du rapport d'expertise). Elle contient une anamnèse complète (pp. 2-6 du rapport d'expertise) et un examen clinique a été pratiqué (pp. 7-9 du rapport d'expertise). Les conclusions de l'expertise sont claires et exemptes de contradictions (pp. 9-13 du rapport d'expertise). A l'aune de ces considérations on doit donc admettre la valeur probante de l'expertise diligentée par l'assureur perte de gain de la recourante (cf. consid. 3b supra). c) On retient par conséquent que sur le plan somatique, la recourante présente des atteintes chroniques objectivées qui ont pour incidence un certain nombre de limitations fonctionnelles incompatibles avec la poursuite de sa profession habituelle, soit celle de nettoyeuse. En revanche, ces limitations fonctionnelles (pas de port de charges de plus de</w:t>
      </w:r>
    </w:p>
    <w:p>
      <w:r>
        <w:rPr>
          <w:b/>
        </w:rPr>
        <w:t>E. 10</w:t>
      </w:r>
    </w:p>
    <w:p>
      <w:r>
        <w:t>kg, pas de position de porte-à-faux et en extension du rachis, nécessité de pouvoir alterner les positions assise/debout toutes les trente minutes et pas de travaux de force avec les mains ni mouvements répétitifs des poignets) permettent l'exercice d'une activité professionnelle adaptée, à savoir un travail simple et répétitif dans le domaine industriel léger tel que par exemple le contrôle ou la surveillance d'un processus de production, le travail à l'établi dans des activités simples et légères, ou encore celui dans le conditionnement (cf. Proposition DDP du 24 janvier 2011 de l'OAI). Quoiqu'en dise la recourante, son âge ainsi que le taux de chômage ne permettent pas de rediscuter les conclusions de l'expertise médicale à ce sujet. Le marché du travail équilibré recouvre en effet un large éventail d'activités simples et répétitives qui correspondent à un emploi léger respectant les limitations fonctionnelles observées et un nombre significatif d'entre elles, ne nécessitant pas de formation sont exigibles de la recourante, au demeurant ces activités sont, en règle générale,</w:t>
      </w:r>
    </w:p>
    <w:p>
      <w:r>
        <w:t>- 19 - disponibles indépendamment de l'âge de la personne intéressée (cf. TF 9C_497/2012 du 7 novembre 2012, 9C_646/2010 du 23 février 2011, consid. 4 et 8C_657/2010 du 19 novembre 2010, consid. 5.2.3). d) Sur le plan psychiatrique, l'expertise ne retient aucune pathologie invalidante. e) Ainsi en raison de son affection d'ordre somatique (lombalgies chroniques et syndrome du tunnel carpien bilatéral prédominant à droite), la recourante n'est plus apte à poursuivre l'exercice de son activité habituelle de nettoyeuse. Cependant dans une activité adaptée à l'ensemble de ses limitations fonctionnelles, elle bénéficie d'une capacité de travail résiduelle totale. Après comparaison entre le revenu raisonnablement exigible de sa part sans invalidité (58'052 fr.) et celui exigible avec invalidité (44'686 fr. 60), il en résulte un préjudice économique de 13'365 fr. 40 correspondant à un degré d'invalidité de 23,02 % qui ne lui ouvre pas le droit à la rente AI (cf. consid. 3a supra).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au demeurant non assistée par un</w:t>
      </w:r>
    </w:p>
    <w:p>
      <w:r>
        <w:t>- 20 - avocat, n'obtient pas gain de cause (art. 61 let. g LPGA; art.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