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ZD11.019856 vom 21. September 2012</w:t>
      </w:r>
    </w:p>
    <w:p>
      <w:r>
        <w:t>VD Tribunal cantonal, 2012-09-21, FR</w:t>
      </w:r>
    </w:p>
    <w:p>
      <w:r>
        <w:rPr>
          <w:b/>
        </w:rPr>
        <w:t xml:space="preserve">Quelle: </w:t>
      </w:r>
      <w:r>
        <w:t>https://mcp.opencaselaw.ch/entscheid/vd_gerichte_ZD11.019856</w:t>
      </w:r>
    </w:p>
    <w:p>
      <w:r>
        <w:t>FR: VD_GERICHTE ZD11.019856 du 21 septembre 2012</w:t>
      </w:r>
    </w:p>
    <w:p>
      <w:r>
        <w:t>IT: VD_GERICHTE ZD11.019856 del 21 settembre 2012</w:t>
      </w:r>
    </w:p>
    <w:p>
      <w:pPr>
        <w:pStyle w:val="Heading2"/>
      </w:pPr>
      <w:r>
        <w:t>Erwägungen</w:t>
      </w:r>
    </w:p>
    <w:p>
      <w:r>
        <w:rPr>
          <w:b/>
        </w:rPr>
        <w:t>E. 50</w:t>
      </w:r>
    </w:p>
    <w:p>
      <w:r>
        <w:t>consid. 4.1 ;119 V 475 consid. 1b/bb). Dès lors, la conclusion de la recourante relative à une révision procédurale de la décision du 12 avril 2011 introduite devant l'autorité de céans doit être déclarée irrecevable. Il en va de même de la demande de la recourante intervenue en cours de procédure relative à un nouveau calcul de l'incapacité de gain. Il convient de relever que, indépendamment de sa qualification ou non comme moyen de preuve nouveau, ni le courrier du 2 février 2011, ni le rapport d'examen psychologique du 15 décembre 2010 n'établissent, au degré de la vraisemblance prépondérante, une incapacité de travail totale antérieure, à tout le moins dès le 1er août 2009 (soit après trois mois de l’amélioration constatée le 15 avril 2009, correspondant à la reconnaissance d’une capacité de travail de 50 % dans une activité adaptée). Enfin, s'agissant du calcul du préjudice économique, il n'y a concrètement aucun motif de procéder à une nouvelle comparaison des revenus du moment qu'il a été constaté que les circonstances (situation médicale et activités exigibles) ne s'étaient pas modifiées au point d'avoir une influence significative sur le degré d'invalidité de la recourante, que cette dernière a échoué à démontrer une péjoration de son état de santé et qu'elle n'a pas allégué, ni rendu vraisemblable d'autres changements ayant des conséquences importantes sur sa capacité de gain (consid. 5 infra). En effet, l'art. 17 al. 1 LPGA impose de vérifier que le taux d'invalidité, connu, n'a pas subi de modifications notables et non de</w:t>
      </w:r>
    </w:p>
    <w:p>
      <w:r>
        <w:t>- 22 - déterminer ce taux comme l'exige l'art. 16 LPGA lors de la survenance de l'invalidité. 4. En l'absence de motif de révision procédurale, le litige, relatif au droit de la recourante à une rente d'invalidité, porte sur l'atteinte à la santé et son incidence sur la capacité de travail et de gain, singulièrement sur le point de savoir si l'invalidité s'est modifiée de façon à influencer le droit à la prestation pendant la période entre les décisions des 11 janvier et 7 mars 2011 et la décision litigieuse du 12 avril 2011.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 rente s'il est invalide à 50 % au moins, à trois-quarts de rente s'il est invalide à 60 % au moins et à une rente entière s'il est invalide à 70 %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w:t>
      </w:r>
    </w:p>
    <w:p>
      <w:r>
        <w:t>- 23 -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(cf. ATF 130 V 71). Conformément à l'al. 1 de la disposition précitée,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2 RAI (Règlement du 17 janvier 1961 sur l'assurance-invalidité;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t>- 24 -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et ATF 125 V 368 consid. 2 et la référence;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En l'occurrence, il y a dès lors lieu d'examiner si le degré d'invalidité s'est modifié au point d'influencer le droit aux prestations, en procédant à la comparaison des situations de fait existant au moment la dernière décision entrée en force qui repose sur un examen matériel du droit à la rente, soit les décisions des 11 janvier et 7 mars 2011 et la décision litigieuse du 12 avril 2011. Pour sa part, la recourante soutient qu'elle n'est plus en mesure d'exercer une activité professionnelle, ajoutant que la mise en œuvre d'une expertise pluridisciplinaire s'impose</w:t>
      </w:r>
    </w:p>
    <w:p>
      <w:r>
        <w:t>- 25 - compte tenu de l'aggravation de son état de santé tant sur le plan psychique que physique. a) Ainsi, par décisions des 10 janvier et 7 mars 2011 confirmant un projet de décision du 6 juillet 2010, l'intimé a considéré que la recourante avait présenté en raison de troubles somatiques une totale incapacité de travail dès le 13 octobre 2006 dans une activité d'employée de cafétéria et de concierge non professionnelle. Toutefois, se référant à un rapport médical du 12 mars 2009 du Dr L.________ à la CNA, l'intimé a considéré que sa capacité de travail était de 50 % dès le 15 avril 2009 dans une activité adaptée, soit respectant les limitations fonctionnelles (activité légère sédentaire, principalement assise, sans déplacement). Cette appréciation était corroborée par le Dr A. (rapport médical du 17 novembre 2010 au Dr P.________). Sur le plan psychique, le rapport médical du 14 mai 2009 des Dresses Y. et U. ne retenait plus qu'un trouble de l'adaptation avec réaction mixte anxieuse et dépressive sans incidence sur la capacité de travail. Par la suite, les médecins de la Policlinique psychiatrique F.________ ont retenu une thymie neutre et n'ont pas retenu d'incidence sur la capacité de travail de leur patiente (courrier du 7 janvier 2010). Au vu de ces éléments, l'intimé a octroyé à la recourante une rente entière d'invalidité du 1er octobre 2007 au 31 juillet 2009. Dès le 1er août 2009, soit trois mois après l'amélioration de son état de santé (cf. art. 88a al. 1 RAI), la recourante avait droit un quart de rente compte tenu d'un préjudice économique de 48.73 % calculé par une approche théorique. b) Par certificat du 2 février 2011, les Drs Q.________ et B.________ ont informé l'intimé que la recourante présentait un trouble de la personnalité borderline (F 60.31), un épisode dépressif moyen, sans syndromes somatiques (F32.10), une psychose non organique, soit une personnalité psychotique selon un examen psychologique, ainsi qu'une intelligence limite, éléments permettant de retenir que l'intéressée n'arrivait pas à faire face à ses angoisses. Ce certificat médical a été considéré comme une nouvelle demande de prestations sur laquelle l'intimé est entré en matière. Ainsi, après avoir examiné l'ensemble du dossier médical à sa disposition jusqu'à la date de la décision attaquée du</w:t>
      </w:r>
    </w:p>
    <w:p>
      <w:r>
        <w:t>- 26 - 12 avril 2011, l'intimé, se référant à l'avis médical du SMR du 22 février 2011, a considéré à juste titre que le certificat précité ne permettait pas de conclure à une aggravation de l'état de santé de la recourante. c) En effet, sur le plan somatique, S.________ n'a, dans le cadre de son recours, pas démontré par une argumentation précise et étayée, qu'il existerait au dossier une appréciation médicale objective mieux fondée que les éléments retenus par l'intimé qui justifierait la mise en œuvre d'une mesure d'instruction complémentaire. S'il est incontestable que la recourante souffre d'une atteinte au niveau de la cheville gauche depuis de nombreuses années, la simple évocation de la persistance de douleurs à ce niveau, ainsi que d'une atteinte aux membres supérieurs ou des sciatalgies ne permet pas de modifier l'évaluation de la capacité de travail résiduelle, soit 50 % dans une activité adaptée, en l'absence d'une aggravation objectivable. En effet,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Dès lors, l'appréciation des pièces médicales ne saurait être valablement mise en cause par la seule affirmation selon laquelle il existerait une aggravation de l'état de santé sur le plan somatique et ce, conformément au devoir de la recourante de collaborer à l'instruction de l'affaire qui atténue le principe inquisitoire et comprend notamment l'obligation des parties d'apporter, dans la mesure où cela peut raisonnablement être exigé d'elles, les preuves commandées par la nature du litige et des faits invoqués, faute de quoi elles risquent de devoir</w:t>
      </w:r>
    </w:p>
    <w:p>
      <w:r>
        <w:t>- 27 - supporter les conséquences de l'absence de preuves (ATF 125 V 193 consid. 2 p. 195). d) Dès lors, il s'agit uniquement de déterminer si l'état de santé psychiatrique de la recourante s'est modifié dans une mesure importante, permettant de retenir une incapacité de travail pour ce motif. Dans un rapport médical du 2 février 2011, les Drs Q.________ et B.________ ont considéré que l'examen psychologique pratiqué avait amené des éléments nouveaux au dossier, puisque les tests psychologiques (rapport du 15 décembre 2010) évoquaient un fonctionnement psychotique et concluaient à une intelligence limite. Les médecins précités ont retenu ces diagnostics dans le cadre de leur appréciation auxquels s'ajoutaient un trouble de la personnalité borderline et un épisode dépressif moyen sans syndrome somatique. En date du 26 juin 2011, ils ont en outre précisé que le trouble de la personnalité borderline devait être remplacé par un trouble mixte de la personnalité aux traits borderline et dépendants. Ils décrivaient une dégradation de l'état de santé psychique de leur patiente consécutive à une séparation et à son accident de la cheville. Estimant que les problèmes psychiques de la recourante étaient susceptibles d'entraver sa capacité de travail, ils ont retenu une totale incapacité de travail tout en admettant qu'elle était difficile à évaluer. Evoquant un léger doute quant à l'existence d'une pathologie psychiatrique invalidante, le SMR a finalement proposé une expertise psychiatrique (avis médical du 11 juillet 2011) laquelle a été confiée au Dr R.________. Dans un rapport du 20 décembre 2011, l'expert a uniquement retenu les diagnostics de trouble anxieux et dépressif mixte, ainsi qu'un trouble mixte de la personnalité, sans répercussion sur la capacité de travail. Le rapport d'expertise psychiatrique du Dr R.________ repose sur des examens complets et son contenu répond en tous points aux exigences de la jurisprudence en ce qui concerne la valeur probante des expertises médicales (cf. ATF 125 V 351 consid. 3a ; 134 V 231 consid. 5.1). Il décrit clairement et de manière fouillée tous les points importants,</w:t>
      </w:r>
    </w:p>
    <w:p>
      <w:r>
        <w:t>- 28 - l'appréciation de la situation médicale est bien expliquée et les conclusions de l'expert sont parfaitement motivées. Les raisons pour lesquelles les diagnostics de trouble anxieux et dépressif mixte, ainsi que de trouble mixte de la personnalité, selon la terminologie de la CIM-10, sont les mieux à même de décrire la psychopathologie de la recourante font l'objet d'une démonstration convaincante. Il en va de même des raisons pour lesquelles l'expert a considéré que l'on pouvait écarter une psychose non organique. Ce dernier a ainsi estimé que les médecins de la Policlinique psychiatrique F.________ avaient construit un libellé diagnostique en se basant sur les tests psychologiques, auquel il ne pouvait se rallier, car les rapports médicaux des 2 février et 29 juin 2011 ne respectaient pas les règles diagnostiques des ouvrages de référence. Enfin, au vu de l'anamnèse et des observations lors des deux consultations d'expertise, il mettait en doute le diagnostic d'intelligence limite. e) Les différents rapports des Drs Q.________ et B.________ ne font pas état d'éléments objectifs qui auraient été ignorés dans le cadre de l'expertise du Dr R.________ et qui seraient suffisamment pertinents pour remettre en cause les conclusions de l'expert. Dans un rapport complémentaire du 17 février 2012, répondant à l'appréciation des Drs Q.________ et H.________ du 23 janvier 2012 quant à l'absence d'incapacité de travail retenue par le Dr R.________ au vu des différents traits psychopathologiques présentés par la recourante, l'expert a expliqué que le trouble anxieux et dépressif mixte comportait des éléments anxieux et dépressifs de peu de sévérité. Quant au trouble mixte de la personnalité, il n'avait rien d'exceptionnellement grave. En tout état de cause, aucun des diagnostics précités ne permettait de retenir une quelconque incapacité de travail. Sur ce point, le recours doit donc être rejeté. Il n'y a dès lors pas lieu d'ordonner un complément d'instruction sous la forme d'une expertise pluridisciplinaire, le dossier s'avérant complet pour statuer sur la demande de révision de rente.</w:t>
      </w:r>
    </w:p>
    <w:p>
      <w:r>
        <w:t>- 29 - 6. Peut enfin demeurer indécis le point de savoir s'il convient d'examiner la conclusion de la recourante demandant à ce que soit examiné par le service de réadaptation de l'OAI son droit éventuel à des mesures de réinsertion au sens de l'art. 14a LAI. En effet, dans la mesure où ladite conclusion tend à l'octroi de mesures de réinsertion au sens de l'art. 14a LAI, elle sort de l'objet de la contestation déterminé par la décision administrative litigieuse du 12 avril 2011, lequel porte sur le droit à une rente d'invalidité, et est dès lors irrecevable. 7. Ainsi au regard des principes légaux et jurisprudentiels rappelés plus haut, on retiendra que par rapport aux circonstances qui ont justifié l'octroi d'un quart de rente d'invalidité dès le 1er août 2009, la situation de la recourante ne s'est pas modifiée, à tout le moins que son état de santé n'a pas subi de détérioration significative ayant une incidence sur son droit à la rente dans le sens d'une augmentation. Dans ces conditions, il n'y a pas lieu de procéder à une révision (art. 17 LPGA). La décision attaquée n'est, par conséquent, pas critiquable dans son résultat et doit être confirmée, ce qui conduit au rejet du recours. 8. a)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b) En l'espèce, l'octroi de l'assistance judiciaire a été limité aux frais de justice. Compte tenu de l'ampleur de la procédure, les frais de</w:t>
      </w:r>
    </w:p>
    <w:p>
      <w:r>
        <w:t>- 30 -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