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ZD11.018321 vom 23. Mai 2012</w:t>
      </w:r>
    </w:p>
    <w:p>
      <w:r>
        <w:t>VD Tribunal cantonal, 2012-05-23, FR</w:t>
      </w:r>
    </w:p>
    <w:p>
      <w:r>
        <w:rPr>
          <w:b/>
        </w:rPr>
        <w:t xml:space="preserve">Quelle: </w:t>
      </w:r>
      <w:r>
        <w:t>https://mcp.opencaselaw.ch/entscheid/vd_gerichte_ZD11.018321</w:t>
      </w:r>
    </w:p>
    <w:p>
      <w:r>
        <w:t>FR: VD_GERICHTE ZD11.018321 du 23 mai 2012</w:t>
      </w:r>
    </w:p>
    <w:p>
      <w:r>
        <w:t>IT: VD_GERICHTE ZD11.018321 del 23 maggio 2012</w:t>
      </w:r>
    </w:p>
    <w:p>
      <w:pPr>
        <w:pStyle w:val="Heading2"/>
      </w:pPr>
      <w:r>
        <w:t>Erwägungen</w:t>
      </w:r>
    </w:p>
    <w:p>
      <w:r>
        <w:rPr>
          <w:b/>
        </w:rPr>
        <w:t>E. 9</w:t>
      </w:r>
    </w:p>
    <w:p>
      <w:r>
        <w:t>En conclusion, bien fondé, le recours doit être admis, la décision attaquée étant annulée et la cause renvoyée à l'OAI pour complément d'instruction dans le sens des considérants puis nouvelle décision.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vu le changement de jurisprudence consacré par l’arrêt du Tribunal cantonal vaudois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w:t>
      </w:r>
    </w:p>
    <w:p>
      <w:r>
        <w:t>- 29 - sont liés par cette disposition (ATF 133 V 402 consid. 4.3; TF 9C_581/2007 du 14 juillet 2008, consid. 5). Compte tenu de ce qui précède, les frais de procédure sont mis à la charge de l’intimé, conformément à l’art. 69 al. 1bis LAI. Obtenant partiellement gain de cause sur le fond, le recourant, assisté d'un mandataire professionnel, a droit à des dépens arrêtés à 1'800 fr. (art. 61 let. g LPGA, art. 55 al. 1 LPA-VD et art. 7 TFJAS [Tarif vaudois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