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ZD11.010305 vom 9. November 2011</w:t>
      </w:r>
    </w:p>
    <w:p>
      <w:r>
        <w:t>VD Tribunal cantonal, 2011-11-09, FR</w:t>
      </w:r>
    </w:p>
    <w:p>
      <w:r>
        <w:rPr>
          <w:b/>
        </w:rPr>
        <w:t xml:space="preserve">Quelle: </w:t>
      </w:r>
      <w:r>
        <w:t>https://mcp.opencaselaw.ch/entscheid/vd_gerichte_ZD11.010305</w:t>
      </w:r>
    </w:p>
    <w:p>
      <w:r>
        <w:t>FR: VD_GERICHTE ZD11.010305 du 9 novembre 2011</w:t>
      </w:r>
    </w:p>
    <w:p>
      <w:r>
        <w:t>IT: VD_GERICHTE ZD11.010305 del 9 novembre 2011</w:t>
      </w:r>
    </w:p>
    <w:p>
      <w:pPr>
        <w:pStyle w:val="Heading2"/>
      </w:pPr>
      <w:r>
        <w:t>Erwägungen</w:t>
      </w:r>
    </w:p>
    <w:p>
      <w:r>
        <w:rPr>
          <w:b/>
        </w:rPr>
        <w:t>E. 5</w:t>
      </w:r>
    </w:p>
    <w:p>
      <w:r>
        <w:t>La recourante critique finalement le taux d'abattement appliqué à son revenu d'invalide - qui s'élève à 26'286.24 fr. par année pour une activité à 50%. a)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Bundesgesetz über den Allgemeinen Teil des</w:t>
      </w:r>
    </w:p>
    <w:p>
      <w:r>
        <w:t>- 24 - Sozialversicherungsrecht (ASTG), in: Schweizerisches Bundesverwaltungsrecht (SBVR),Soziale Sicherheit, 2ème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 (ATF 126 V 75, consid. 5b/cc). La déduction doit être motivée, en ce sens que l'assuré doit pouvoir se faire une idée des motifs qui ont amené l'administration à prendre sa décision; en particulier, cette dernière doit au moins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w:t>
      </w:r>
    </w:p>
    <w:p>
      <w:r>
        <w:t>- 25 - b) En l'espèce, l'estimation de l'abattement n'apparaît ni fausse ni contraire aux critères jurisprudentiels applicables; cela étant, même si l'on retenait le taux d'abattement maximum autorisé par la jurisprudence, soit 25%, l'invalidité de la recourante n'atteindrait pas le taux de 40%, ouvrant le droit à un quart de rente (art. 28 al. 1 let. b LAI) (cf. TF I 377/05 du 11 mai 2006). En effet, dans ce cas, son revenu d'invalide s'élèverait à 19'715 fr. (selon le calcul suivant: 26'286.24 – (26'286.24 x 25%)); avec un tel montant, son taux d'invalidité pour la part active - étant rappelé que cette dernière est de 50% - s'élèverait à 17.15% (selon le calcul suivant: [(30'008-19'715) x 100 / 30'008)] x 50%); par ailleurs, le taux d'invalidité de la recourante pour la part ménagère étant de 19.9%, son taux d'invalidité total s'élèverait à 37.1% (17.15% + 19.9%); ce dernier montant restant inférieur au taux minimal ouvrant le droit à une rente d'invalidité, celui-ci n'est pas ouvert.</w:t>
      </w:r>
    </w:p>
    <w:p>
      <w:r>
        <w:rPr>
          <w:b/>
        </w:rPr>
        <w:t>E. 6</w:t>
      </w:r>
    </w:p>
    <w:p>
      <w:r>
        <w:t>a) En conséquence, tous les griefs de la recourante sont mal fondés, de sorte que le recours est rejeté. b) S'agissant d'une contestation portant sur le refus de prestation de l'AI, des frais sont mis à la charge de la recourante qui succombe (art. 69 al. 1bis LAI, art. 49 al. 1 LPA-VD ). Il n'y a pas lieu à l'allocation de dépens, la recourante n'obtenant pas gain de cause (art. 61 let. g LPGA, 55 et 56 LPA-VD). c) La recourante a obtenu au titre de l'assistance judiciaire, l'exonération de l'avance de frais ainsi que l'assistance d'office d'un avocat en la personne de Me Benoît Morzier avec effet au 9 février 2011 et jusqu'au terme de la présente procédure. Lorsqu'une partie au bénéfice de l'assistance judiciaire succombe, comme c'est le cas en l'occurrence, les frais judiciaires sont à la charge du canton (art. 122 al. 1 let. b CPC [Code de procédure civile du 19 décembre 2008; RS 272] applicable par renvoi de l'art. 18 al. 5 LPA-VD)</w:t>
      </w:r>
    </w:p>
    <w:p>
      <w:r>
        <w:t>- 26 - et le conseil juridique commis d'office est rémunéré équitablement par la canton (art. 122 al. 1 let. a CPC par renvoi de l'art. 18 al. 5 LPA-VD). Il y a donc lieu dans le présent arrêt de fixer la rémunération de l'avocat d'office. Celui-ci a produit la liste de ses opérations et il y a lieu de retenir 20 heures de travail, car les opérations effectuées avant l'octroi de l'assistance judiciaire ne doivent pas être prises en compte. Ceci donne lieu à une indemnité de 3'600 fr, soit 3'888 fr. TVA incluse (cf. art. 2 RAJ [Règlement cantonal vaudois du 7 décembre 2010 sur l'assistance judiciaire en matière civile, RSV 211.02.3]). Il a par ailleurs droit à l'indemnité forfaitaire de 108 fr. TVA incluse prévue à l'art. 3 al. 3 RAJ, pour ses débours. Ainsi au total, l'indemnité de Me Morzier s'élève à 3'996 fr. L'assistance judiciaire est provisoirement supportée par le Canton, Mme H.________ étant rendue attentive au fait qu'elle est tenue d'en rembourser le montant dès qu'elle est en mesure de le faire (art. 123 al. 1 CPC par renvoi de l'art. 18 al. 5 LPA-VD). Il incombe au Service juridique et législatif de fixer les modalités de ce remboursement (art. 5 RAJ), en tenant compte des montants payés à titre de franchise par la recourante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