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ZD11.008134 vom 13. Februar 2014</w:t>
      </w:r>
    </w:p>
    <w:p>
      <w:r>
        <w:t>VD Tribunal cantonal, 2014-02-13, FR</w:t>
      </w:r>
    </w:p>
    <w:p>
      <w:r>
        <w:rPr>
          <w:b/>
        </w:rPr>
        <w:t xml:space="preserve">Quelle: </w:t>
      </w:r>
      <w:r>
        <w:t>https://mcp.opencaselaw.ch/entscheid/vd_gerichte_ZD11.008134</w:t>
      </w:r>
    </w:p>
    <w:p>
      <w:r>
        <w:t>FR: VD_GERICHTE ZD11.008134 du 13 février 2014</w:t>
      </w:r>
    </w:p>
    <w:p>
      <w:r>
        <w:t>IT: VD_GERICHTE ZD11.008134 del 13 febbraio 2014</w:t>
      </w:r>
    </w:p>
    <w:p>
      <w:pPr>
        <w:pStyle w:val="Heading2"/>
      </w:pPr>
      <w:r>
        <w:t>Erwägungen</w:t>
      </w:r>
    </w:p>
    <w:p>
      <w:r>
        <w:rPr>
          <w:b/>
        </w:rPr>
        <w:t>E. 1</w:t>
      </w:r>
    </w:p>
    <w:p>
      <w:r>
        <w:t>a) Les dispositions de la LPGA (loi fédérale du 6 octobre 2000 sur la partie générale du droit des assurances sociales, RS 830.1)</w:t>
      </w:r>
    </w:p>
    <w:p>
      <w:r>
        <w:t>- 9 -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cantonale vaudoise du 28 octobre 2008 sur la procédure administrative, RSV 173.36). La Cour des assurances sociales du Tribunal cantonal est compétente pour statuer (cf. art. 93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 110 V 48 consid. 4a ; RCC 1985 p. 53). b) En l’occurrence, est seul litigieux le calcul du taux d’invalidité de la recourante découlant de la comparaison de ses revenus sans invalidité et d’invalide et, partant, son droit à l’octroi d’une demi- rente d’invalidité. Il n’est pour le surplus pas contesté, au plan médical, que l’intéressée présente une incapacité de travail de 50% dans son activité habituelle comme dans une activité adaptée à ses limitations</w:t>
      </w:r>
    </w:p>
    <w:p>
      <w:r>
        <w:t>- 10 - fonctionnelles. Il n’est pas non plus contesté que l’assurée présente un statut d’active de 100%.</w:t>
      </w:r>
    </w:p>
    <w:p>
      <w:r>
        <w:rPr>
          <w:b/>
        </w:rPr>
        <w:t>E. 3</w:t>
      </w:r>
    </w:p>
    <w:p>
      <w:r>
        <w:t>a) Aux termes de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 l'assuré a droit à un quart de rente s'il est invalide à 40% au moins, à une demi-rente s'il est invalide à 50% au moins, à trois quarts de rente s'il est invalide à 60% au moins et à une rente entière pour un taux d'invalidité de 70% au moins (art. 28 al. 2 LAI).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Chez les assurés actifs, le degré d’invalidité doit être déterminé sur la base d’une comparaison des revenus (art. 28a al. 1, 1ère phrase, LAI). Pour cela, le revenu que l’assuré aurait pu obtenir s’il n’était</w:t>
      </w:r>
    </w:p>
    <w:p>
      <w:r>
        <w:t>- 11 -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104 V 135 consid. 2a et 2b ; TF 9C_673/2010 du 31 mars 2011 consid. 3.1).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 ATF 114 V 310 consid. 3a et les références ; TF 9C_25/2011 du 9 août 2011 consid. 6.1 et les références). En droit suisse, les critères médico-théoriques ne sont donc pas déterminants. L’invalidité est une notion économique et non médicale, où sont prises en compte les répercussions de l’atteinte à la santé sur la capacité de gain. Ainsi, le taux d’invalidité ne se confond pas nécessairement avec le taux d’incapacité fonctionnelle déterminé par le médecin ; ce sont les conséquences économiques objectives de l’incapacité fonctionnelle qu’il importe d’évaluer (cf. TF I 383/06 du 5 avril 2007 et les références citées).</w:t>
      </w:r>
    </w:p>
    <w:p>
      <w:r>
        <w:rPr>
          <w:b/>
        </w:rPr>
        <w:t>E. 4</w:t>
      </w:r>
    </w:p>
    <w:p>
      <w:r>
        <w:t>En l’occurrence, il est constant que la recourante présente une capacité de travail maximale de 50% dans son activité habituelle. Il en va de même dans une activité adaptée.</w:t>
      </w:r>
    </w:p>
    <w:p>
      <w:r>
        <w:t>- 12 - a) Selon la jurisprudence, dans une telle situation, le degré d’invalidité est identique au taux de l’incapacité de travail (application de la méthode de la comparaison en pour cent ; cf. consid. 3b supra). Ainsi, dans un arrêt du 17 mars 2009, le Tribunal fédéral a jugé mal fondé le point de vue d’un assuré reprochant à la juridiction cantonale de ne pas avoir procédé à une comparaison des revenus avec et sans invalidité, exposant que « dans la mesure où la capacité de travail de l’intéressé est encore de 50% dans son ancienne activité, le revenu qu’il pourrait obtenir en mettant à profit sa capacité résiduelle de travail correspond à une incapacité de gain de 50% » (TF 8C_558/2008 du 17 mars 2009 consid. 2.5). Ce raisonnement a été maintenu par la suite, comme par exemple dans les arrêts du 29 mai 2009 (TF 9C_947/2008) et du 12 février 2010 (TF 9C_396/2009 consid. 3.2). Il est également suivi par le Tribunal administratif fédéral (causes C-652/2011 du 7 novembre 2012 consid. 7.3 et C-6384/2010 du 27 mai 2011 consid. 11.1 notamment) et la Cour des assurances sociales du Tribunal cantonal vaudois (CASSO AI 267/12 – 294/2013 du 5 décembre 2013 ; AI 52/12 – 61/2013 du 20 mars 2013 ; AI 234/11 – 328/2012 du 2 octobre 2012 ; AI 146/11 – 185/2012 du 25 mai 2012 par exemple). b) Dans le cas présent, l’OAI a procédé à une comparaison des revenus sans expliquer le choix de cette méthode. Or aucun élément ne justifie de s’écarter de la méthode traditionnelle, soit la méthode de la comparaison en pour cent telle que présentée ci-dessus. Particulièrement, on ne saurait retenir que la recourante, dans le cadre de son activité auprès de la permanence médico-chirurgicale [...], s’est contentée d’un revenu trop bas. Le revenu qu’elle aurait perçu en 2008 – soit le même qu’elle a perçu en 2006 et 2007 –, savoir 52'800 fr. par an, équivaut à peu près au revenu minimum tel qu’il figure sur la brochure produite devant l’autorité de céans par l’intimé. Il y a dès lors lieu d’admettre que la perte de gain subie par la recourante se confond avec la diminution de la capacité de travail, sans qu’il ne soit nécessaire de procéder à une comparaison des gains (cf. art. 28a al. 1 LAI et 16 LPGA). Il en découle ainsi un taux d’invalidité de 50%,</w:t>
      </w:r>
    </w:p>
    <w:p>
      <w:r>
        <w:t>- 13 - ce qui conduit au versement d’une demi-rente d’invalidité (cf. art. 28 al. 2 LAI), dès le 1er avril 2009.</w:t>
      </w:r>
    </w:p>
    <w:p>
      <w:r>
        <w:rPr>
          <w:b/>
        </w:rPr>
        <w:t>E. 5</w:t>
      </w:r>
    </w:p>
    <w:p>
      <w:r>
        <w:t>a) Au vu de ce qui précède, le recours doit être admis et la décision attaquée réformée, en ce sens qu’une demi-rente d’invalidité est due à la recourante dès le 1er avril 2009. b) Ayant obtenu gain de cause avec l’assistance d’un mandataire professionnel, la recourante a droit à des dépens (art. 55 LPA- VD et art. 61 let. g LPGA). Le montant de ces derniers étant déterminé, sans égard à la valeur litigieuse, d’après l’importance et la complexité du litige, il convient de les fixer équitablement à 3'000 francs. c) Les frais judiciaires, arrêtés à 400 fr., sont mis à la charge de l’OAI, qui succombe (art. 69 al. 1bis LAI ; art. 49 al. 1 LPA-VD).</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