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ZD11.006266 vom 24. Juni 2013</w:t>
      </w:r>
    </w:p>
    <w:p>
      <w:r>
        <w:t>VD Tribunal cantonal, 2013-06-24, FR</w:t>
      </w:r>
    </w:p>
    <w:p>
      <w:r>
        <w:rPr>
          <w:b/>
        </w:rPr>
        <w:t xml:space="preserve">Quelle: </w:t>
      </w:r>
      <w:r>
        <w:t>https://mcp.opencaselaw.ch/entscheid/vd_gerichte_ZD11.006266</w:t>
      </w:r>
    </w:p>
    <w:p>
      <w:r>
        <w:t>FR: VD_GERICHTE ZD11.006266 du 24 juin 2013</w:t>
      </w:r>
    </w:p>
    <w:p>
      <w:r>
        <w:t>IT: VD_GERICHTE ZD11.006266 del 24 giugno 2013</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En dérogation aux art. 52 et 58 LPGA, les décisions des offices AI cantonaux peuvent directement faire l'objet d'un recours devant le tribunal des assurances du domicile de l'office concerné (art. 69 al. 1 let. a LAI).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Dans le cas présent, le droit du recourant à une rente d'invalidité est litigieux, cette prestation lui étant refusée par l'OAI.</w:t>
      </w:r>
    </w:p>
    <w:p>
      <w:r>
        <w:t>- 13 -</w:t>
      </w:r>
    </w:p>
    <w:p>
      <w:r>
        <w:rPr>
          <w:b/>
        </w:rPr>
        <w:t>E. 3</w:t>
      </w:r>
    </w:p>
    <w:p>
      <w:r>
        <w:t>a) Selon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w:t>
      </w:r>
    </w:p>
    <w:p>
      <w:r>
        <w:t>- 14 - 133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consid. 3b/ee et les références citées; TF 8C_565/2008 du 27 janvier 2009 consid. 3.3.2; TF 8C_862/2008 du 19 août 2009 consid. 4.2). En particulier, la jurisprudence reconnaît qu'un rapport qui émane d'un service médical régional au sens de l'art. 69 al. 4 RAI (règlement du 17 janvier 1961 sur l'assurance-invalidité; RS 831.201; dans sa teneur en vigueur jusqu'au 31 décembre 2011) a une pleine valeur probante s'il remplit les exigences requises par la jurisprudence (TFA I</w:t>
      </w:r>
    </w:p>
    <w:p>
      <w:r>
        <w:t>- 15 - 573/04 du 10 novembre 2005 consid. 5.2; TFA I 523/02 du 28 octobre 2002 consid.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TF 9C_667/2012 du 16 novembre 2012 consid. 4.1). d)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w:t>
      </w:r>
    </w:p>
    <w:p>
      <w:r>
        <w:t>- 16 -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w:t>
      </w:r>
    </w:p>
    <w:p>
      <w:r>
        <w:t>- 17 - d'occupation). Une déduction globale maximale de 25% sur le salaire statistique permet de tenir compte des différents éléments qui peuvent influencer le revenu d'une activité lucrative (ATF 126 V 75 consid. 5b/aa- 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w:t>
      </w:r>
    </w:p>
    <w:p>
      <w:r>
        <w:rPr>
          <w:b/>
        </w:rPr>
        <w:t>E. 4</w:t>
      </w:r>
    </w:p>
    <w:p>
      <w:r>
        <w:t>a) Dans le cas présent, sur le plan médical, dans son expertise judiciaire du 31 janvier 2012, le Dr X.________ a posé les diagnostics de gonarthrose tricompartimentale droite post-traumatique, de résection d'une anse de sceaux méniscale externe droite en 2000, de multiples entorses du genou droit entre 2000 et 2009, et de lombalgies chroniques communes. Dans son appréciation du cas, ce médecin a retenu qu'une prothèse totale du genou devait être mise en place, en vue de la disparition de la symptomatologie douloureuse. L'assuré présentait une incapacité de travail totale dans son ancienne activité de plâtrier-maçon et une pleine capacité de travail, sans diminution de rendement, dans une activité adaptée. Les conclusions de l'expert judiciaire rejoignent celles des médecins de la CRR, qui ont retenu, dans leur rapport du 22 avril 2010, que l'assuré présentait une gonarthrose tri-compartimentale droite symptomatique et une pleine capacité de travail dans une activité adaptée à ses limitations fonctionnelles. L'avis de l'expert judiciaire est également corroboré par les conclusions du Dr P.________, qui a notamment retenu que l'assuré – qui présentait une gonarthrose droite, valgisante et évolutive – conservait une pleine capacité de travail dans une activité</w:t>
      </w:r>
    </w:p>
    <w:p>
      <w:r>
        <w:t>- 18 - adaptée. Pour le surplus, les autres avis médicaux figurant au dossier ne permettent pas de remettre en cause les conclusions de l'expert judiciaire, lesquelles sont dûment motivées et résultent d'examens complets. Dans ces conditions, il y a lieu de relativiser l'avis des responsables d'I.________, qui à l'issue du stage effectué par l'assuré de septembre à décembre 2009 ont globalement estimé à 40% son volume de travail. L'expertise du Dr X.________ a donc valeur probante, ce qui n'est au demeurant pas contesté par les parties. Avec l'expert judiciaire, on retiendra donc que l'assuré présente une pleine capacité de travail sans diminution de rendement dans une activité adaptée à ses limitations fonctionnelles. b) Comme activité réputée adaptée à l'état de santé de l'assuré, l'OAI s'est référé, dans son rapport final du 21 juin 2012, à un travail simple et répétitif dans le domaine industriel léger. Il a cité des travaux dans le montage, dans le contrôle ou la surveillance d’un processus de production, comme ouvrier à l’établi dans des activités simples et légères, comme ouvrier dans le conditionnement, ou comme opérateur sur machines conventionnelles (perçage, fraisage, taraudage). De telles activités respectent les limitations fonctionnelles retenues par l'expert judiciaire, à savoir une activité n'impliquant pas de port de charge supérieur à 10 kg, pas de marche de longue durée, notamment en terrains irréguliers, pas de montée ou descente d’escaliers, pas de montée ou descente d’échelle et pas de station debout de longue durée. En outre, comme le relève à juste titre l'OAI, ces activités permettent l'alternance des positions assis-debout, et celles ayant lieu à l'établi ou en lien avec la surveillance impliquent peu de déplacements. Elles sont du reste accessibles sans formation spécifique. Lorsque le recourant soutient que les activités proposées par l'OAI n'excluraient pas de devoir monter ou descendre des escaliers, il faut relever que cela tiendrait le cas échéant à la configuration des lieux (entreprise sur plusieurs étages, absence ou panne d'ascenseur) et non aux activités à proprement parler. En effet, un travail de montage, de contrôle, de surveillance ou d'opérateur n'implique pas en soi le fait de devoir monter ou descendre des escaliers. A cela s'ajoute que, selon</w:t>
      </w:r>
    </w:p>
    <w:p>
      <w:r>
        <w:t>- 19 - l'expert judiciaire, l'implantation d'une prothèse au genou droit fera disparaître les douleurs de ce membre et permettra l'utilisation d'escaliers. Dans ces conditions, il faut considérer que les activités proposées par l'OAI sont parfaitement compatibles avec les limitations fonctionnelles du recourant. c) Sur le plan économique, s'agissant du revenu d'invalide, on ne voit pas de raison de s'écarter du calcul effectué par l'OAI sur la base des données de l'ESS. Dans ce cas, selon la jurisprudence constante, il y a lieu de se référer à la médiane ou valeur centrale (ATF 124 V 321 consid. 3b/bb; TF I 299/06 du 4 avril 2007 consid. 6.3; TF I 7/06 du 12 janvier 2007 consid. 5.2), soit – contrairement à ce que soutient le recourant – sans faire de distinction entre les assurés suisses ou étrangers. C'est donc à juste titre que l'OAI s'est fondé sur un revenu de base de 60'788 fr. 59, résultant d'un salaire de 59'978 fr. 88 selon l'ESS dans des activités simples et répétitives en 2008 (TF 8C_931/2010 du 26 janvier 2011 consid. 2.1) et de l'évolution des salaires de 2008 à 2009 (+ 1.35%). Le recourant, originaire du Kosovo, vit en Suisse depuis 1999 et est au bénéfice d'un permis de séjour (permis B) depuis avril 2006. Né en 1966, il est encore relativement jeune. Il a été engagé auprès de différents employeur dans le domaine du bâtiment (plâtrerie, maçonnerie), en dernier lieu par la société L.________ SA du 5 mars 2007 au 31 mars 2009. Il n'a pas de formation certifiée mais n'en bénéficie pas moins, selon l'expert judicaire, d'une "formation scolaire de base solide". Dans ces conditions, il y a lieu de considérer que la perte des avantages du recourant dans son ancienne activité (expérience, ancienneté, connaissances professionnelles) ne lui serait pas insurmontable, malgré ses problèmes de santé. Le taux d'abattement de 15% retenu par l'OAI n'est donc pas critiquable et doit être retenu, de sorte que le revenu d'invalide doit être fixé à 51'670 francs. Même si l'on tenait compte du revenu sans invalidité de 81'327 fr. 50 dont se prévaut le recourant (qui lui est plus favorable que celui de 76'898 fr. 10 retenu par l'OAI), l'assuré n'aurait pas droit à une</w:t>
      </w:r>
    </w:p>
    <w:p>
      <w:r>
        <w:t>- 20 - rente d'invalidité. En effet, la comparaison des revenus (81'327 fr. 50 sans invalidité et 51'670 fr. avec invalidité) conduit à un degré d'invalidité de 36.46%, ce qui est inférieur au taux minimal de 40% donnant droit à un quart de rente (art. 28 al. 2 LAI). d) Partant, le recourant n'a pas droit à une rente d'invalidité, seule prestation litigieuse. Le recours doit donc être rejeté, ce qui conduit à la confirmation de la décision attaquée.</w:t>
      </w:r>
    </w:p>
    <w:p>
      <w:r>
        <w:rPr>
          <w:b/>
        </w:rPr>
        <w:t>E. 5</w:t>
      </w:r>
    </w:p>
    <w:p>
      <w:r>
        <w:t>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Minh Son Nguyen a produit la liste de ses opérations, laquelle a été contrôlée au regard de la procédure. En l'espèce, il convient d'allouer la somme de 2'013 fr. 10 pour l'ensemble des opérations accomplies dans la présente cause, débours et TVA compris (9.80 heures de travail au tarif horaire de 180 fr., débours par 100 fr. et TVA à 8%). b)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[règlement du 7 décembre 2010 sur l'assistance judiciaire en matière civile; RS 211.02.3]) en tenant compte des montants payés à titre de franchise depuis le début de la procédure. c) Le présent arrêt est rendu sans dépens, le recourant n'ayant pas obtenu gain de cause (art. 61 let. g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