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ZD11.004346 vom 9. September 2013</w:t>
      </w:r>
    </w:p>
    <w:p>
      <w:r>
        <w:t>VD Tribunal cantonal, 2013-09-09, FR</w:t>
      </w:r>
    </w:p>
    <w:p>
      <w:r>
        <w:rPr>
          <w:b/>
        </w:rPr>
        <w:t xml:space="preserve">Quelle: </w:t>
      </w:r>
      <w:r>
        <w:t>https://mcp.opencaselaw.ch/entscheid/vd_gerichte_ZD11.004346</w:t>
      </w:r>
    </w:p>
    <w:p>
      <w:r>
        <w:t>FR: VD_GERICHTE ZD11.004346 du 9 septembre 2013</w:t>
      </w:r>
    </w:p>
    <w:p>
      <w:r>
        <w:t>IT: VD_GERICHTE ZD11.004346 del 9 settembre 2013</w:t>
      </w:r>
    </w:p>
    <w:p>
      <w:pPr>
        <w:pStyle w:val="Heading2"/>
      </w:pPr>
      <w:r>
        <w:t>Erwägungen</w:t>
      </w:r>
    </w:p>
    <w:p>
      <w:r>
        <w:rPr>
          <w:b/>
        </w:rPr>
        <w:t>E. 7</w:t>
      </w:r>
    </w:p>
    <w:p>
      <w:r>
        <w:t>Au vu de ce qui précède, il convient de constater que c'est à raison que l'OAI a procédé à la révision du cas du recourant et les griefs formulés par ce dernier doivent être écartés. Le recours doit en conséquence être rejeté, ce qui entraîne la confirmation de la décision attaquée.</w:t>
      </w:r>
    </w:p>
    <w:p>
      <w:r>
        <w:rPr>
          <w:b/>
        </w:rPr>
        <w:t>E. 8</w:t>
      </w:r>
    </w:p>
    <w:p>
      <w:r>
        <w:t>En dérogation à l'art. 61 let. a LPGA, la procédure de recours en matière de contestations portant sur l'octroi ou le refus de prestations de l'assurance-invalidité devant le tribunal cantonal des assurances est soumise à des frais de justice, fixés en fonction de la charge liée à la procédure (art. 69 al. 1bis LAI). Ils sont mis à la charge de la partie qui succombe (art. 94 LPA-VD). En l'espèce, compte tenu de l'ampleur de la procédure, les frais de justice doivent être arrêtés à 400 fr. et mis à la charge du recourant. Il n'y a pas lieu d'allouer de dépens, le recourant n'obtenant pas gain de cause (art. 61 let. g LPGA ;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