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ZD10.039586 vom 19. März 2012</w:t>
      </w:r>
    </w:p>
    <w:p>
      <w:r>
        <w:t>VD Tribunal cantonal, 2012-03-19, FR</w:t>
      </w:r>
    </w:p>
    <w:p>
      <w:r>
        <w:rPr>
          <w:b/>
        </w:rPr>
        <w:t xml:space="preserve">Quelle: </w:t>
      </w:r>
      <w:r>
        <w:t>https://mcp.opencaselaw.ch/entscheid/vd_gerichte_ZD10.039586</w:t>
      </w:r>
    </w:p>
    <w:p>
      <w:r>
        <w:t>FR: VD_GERICHTE ZD10.039586 du 19 mars 2012</w:t>
      </w:r>
    </w:p>
    <w:p>
      <w:r>
        <w:t>IT: VD_GERICHTE ZD10.039586 del 19 marzo 2012</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LPA-VD (loi cantonale vaudoise du 28 octobre 2008 sur la procédure administrative ; RSV 173.36) s'applique aux recours dans le domaine des assurances sociales (art. 2 al. 1 let. c LPA-VD) et prévoit à cet égard la compétence de la Cour des assurances sociales du Tribunal cantonal (art. 93 al. 1 let. a LPA-VD). b) Selon l'art. 60 al. 1 LPGA, le recours doit être déposé dans les trente jours suivant la notification de la décision sujette à recours. Selon la jurisprudence, le fardeau de la preuve de la date à laquelle la notification d'un acte a eu lieu incombe en principe à l'autorité qui entend en tirer une conséquence juridique. Cette autorité supporte dès lors les conséquences de l'absence de preuve, en ce sens que si la date de la notification est contestée et qu'il existe effectivement un doute à ce sujet, il y a lieu de se fonder sur les déclarations du destinataire de l'envoi (ATF 129 I 8, consid. 2.2 ; 124 V 400, consid. 2a ; TF 9C_362/2009 du 9 décembre 2009). En l'espèce, la décision attaquée est datée du 19 octobre 2010, et le recours, bien que daté du 19 novembre 2010, a été envoyé le 30 novembre 2010. Or on ignore la date à laquelle la décision de l'OAI a effectivement été envoyée, l'office intimé ne notifiant pas ses décisions</w:t>
      </w:r>
    </w:p>
    <w:p>
      <w:r>
        <w:t>- 10 - sous pli recommandé mais par simple courrier, et également celle à laquelle elle est parvenue à la recourante. Celle-ci n'a en effet pas produit l'enveloppe ayant contenu la décision attaquée. L'intimé ne conteste toutefois pas la recevabilité du recours, dont il conclut uniquement au rejet au fond. Il subsiste donc un doute certain sur le jour exact auquel la notification de la décision a eu lieu. En conséquence, et dans la mesure où l'envoi du recours reste dans un laps de temps relativement bref avec le terme présumé du délai de recours, il convient de considérer que le recours, qui par ailleurs satisfait aux autres conditions de forme prévues par la loi (art. 61 let. b LPGA), a été interjeté en temps utile et est donc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b) En l'occurrence, la recourante ne critique pas la capacité de travail exigible retenue par l'intimé, qui est de 50% dans son activité habituelle et de 100% dans une activité adaptée à ses limitations fonctionnelles, dès le 23 juin 2008. Cette capacité de travail, attestée dans le rapport d'examen bidisciplinaire effectué en avril 2009 au SMR, ne sera donc pas examinée plus en avant. Le litige porte donc uniquement sur l'exigibilité de la réadaptation, à savoir en l'espèce un changement d'activité professionnelle, qui permettrait à la recourante de retrouver une pleine capacité de travail et de gain. La recourante estime en effet qu'une telle réadaptation n'est pas exigible, au vu de son âge avancé qui rend toute recherche d'emploi excessivement difficile. Elle est ainsi d'avis</w:t>
      </w:r>
    </w:p>
    <w:p>
      <w:r>
        <w:t>- 11 - qu'une rente d'invalidité devrait plutôt lui être allouée, ce qui lui permettrait de continuer à exercer sa profession à temps partiel.</w:t>
      </w:r>
    </w:p>
    <w:p>
      <w:r>
        <w:rPr>
          <w:b/>
        </w:rPr>
        <w:t>E. 3</w:t>
      </w:r>
    </w:p>
    <w:p>
      <w:r>
        <w:t>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Par ailleurs, selon l'art. 29 al. 1 LAI (dans sa teneur en vigueur dès le 1er janvier 2008), le droit à la rente prend naissance au plus tôt à l'échéance d'une période de six mois à compter de la date à laquelle l'assuré a fait valoir son droit aux prestations conformément à l'art. 29 al. 1 LPGA, mais pas avant le mois qui suit le 18ème anniversaire de l'assuré. Selon l'art. 16 LPGA, pour évaluer le taux d'invalidité, le revenu que l'assuré aurait pu obtenir s'il n'était pas invalide est comparé avec celui qu'il pourrait obtenir en exerçant l'activité qui peut raisonnablement</w:t>
      </w:r>
    </w:p>
    <w:p>
      <w:r>
        <w:t>- 12 - être exigée de lui après les traitements et les mesures de réadaptation, sur un marché du travail équilibré. Il convient de se placer au moment de la naissance du droit éventuel à la rente pour procéder à la comparaison des revenus (ATF 129 V 222, consid. 4.3.1), dont les modifications susceptibles d'influencer le droit à la rente survenues jusqu'au moment où la décision est rendue doivent être prises en compte (ATF 128 V 174).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qui s'applique aux aspects de la vie les plus variés et prime aussi bien le droit à une rente que celui à des mesures de réadaptation.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(TFA I 750/04 du 5 avril 2006, consid. 5.3 ; I 11/00 du 22 août 2001, consid. 5a/bb ; TF 9C_393/2008 du 27 janvier 2009). Il n'y a ainsi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w:t>
      </w:r>
    </w:p>
    <w:p>
      <w:r>
        <w:t>- 13 - Ainsi, on ne peut parler d'une 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I 329/88 du 25 janvier 1989, consid. 4a, in RCC 1989 p. 328). Toutefois,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Néanmoins,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(TFA I 819/04 du 27 mai 2005, consid. 2.2 et les références ; TF 9C_93/2008 du 19 janvier 2009 ; 9C_393/2008 du 27 janvier 2009).</w:t>
      </w:r>
    </w:p>
    <w:p>
      <w:r>
        <w:t>- 14 -</w:t>
      </w:r>
    </w:p>
    <w:p>
      <w:r>
        <w:rPr>
          <w:b/>
        </w:rPr>
        <w:t>E. 4</w:t>
      </w:r>
    </w:p>
    <w:p>
      <w:r>
        <w:t>La question de savoir à quel moment on doit se placer pour apprécier les chances d'un assuré de retrouver un emploi en fonction de son âge – lors de l'ouverture du droit à la rente ou de la décision litigieuse – n'a pas été tranchée par le Tribunal fédéral (TF 9C_949/2008 du 2 juin 2009, consid. 2 ; 9C_651/2008 du 9 octobre 2009, consid. 6.2.2.2 ; 9C_695/2010 du 15 mars 2011, consid. 6.2). Elle peut également rester ouverte en l'espèce, dès lors que la recourante était, à ces moments-là, âgée de 56, respectivement de 58 ans, et n'avait donc, dans l'un et l'autre cas, pas encore atteint le seuil à partir duquel la jurisprudence considère généralement qu'il n'existe plus de possibilité réaliste d'exploiter sa capacité de travail résiduelle sur un marché du travail supposé équilibré (TF 9C_651/2008 du 9 octobre 2009, consid. 6.2.2.2). Il s'agit donc d'examiner si, comme le soutient l'intimé, la recourante était tenue de diminuer le dommage résultant de son incapacité de travail dans son activité habituelle en changeant d'activité professionnelle, soit en exerçant, dès le 23 juin 2008, une activité à plein temps respectant ses limitations fonctionnelles. Or il convient tout d'abord de remarquer que, dans le cas d'un assuré exerçant une activité indépendante, il y a lieu de tenir compte du temps qui lui est nécessaire pour remettre son entreprise et faire preuve de prudence en invoquant l'obligation de réduire le dommage (TFA I 269/03 du 25 avril 2005, consid. 4.1). En l'occurrence, il peut être relevé que la recourante travaille depuis plus de 35 ans dans la coiffure, domaine dans lequel elle dispose encore d'une capacité de travail réduite, et qu'elle ne bénéficie d'aucune autre expérience ou qualification professionnelle. Toutefois, force est de constater qu'elle n'a pas consenti de grands investissements dans son entreprise : elle n'est pas propriétaire des locaux de son salon, dont elle a intégralement amorti les installations, et n'emploie pas de personnel. Ses deux médecins traitants ont par ailleurs également mentionné la possibilité d'un changement de profession (cf. leurs rapports respectifs de novembre 2008). On soulignera également que les limitations fonctionnelles de la recourante (pas de port de charges supérieures à 2,5 kg au niveau du membre supérieur gauche de façon répétitive ; pas de position en antépulsion ou en abduction du membre supérieur au-delà de</w:t>
      </w:r>
    </w:p>
    <w:p>
      <w:r>
        <w:t>- 15 - 60° de façon répétitive et, occasionnelle, au-delà de 90° ; pas de position statique prolongée en flexion-extension du rachis cervical associée à des mouvements brusques ; pas de position statique assise prolongée au-delà d'une heure sans possibilité de varier les positions assise-debout au minimum une fois par heure) n'impliquent pas nécessairement d'adaptations particulières du poste de travail dans une activité industrielle légère. Une formation de réceptionniste lui a par ailleurs été proposée, ce qu'elle a refusé, malgré la mise en demeure qui lui a été faite par l'intimé. Au vu de ces éléments, on était donc en droit d'attendre de la recourante, conformément à son obligation de diminuer le dommage, qu'elle remette son salon dans un délai raisonnable et ainsi change d'activité professionnelle aux alentours de la fin de l'année 2008, soit environ six mois après avoir recouvré une pleine capacité de travail dans une activité adaptée, afin de mettre à profit l'entier de sa capacité de travail. Certes, on peut regretter que l'OAI n'ait pas examiné avec davantage de précision quels types d'activités sont adaptées au cas de la recourante. On peut toutefois retenir que, au vu du large éventail d'activités simples et répétitives qui correspondent à un emploi léger respectant les limitations fonctionnelles observées, un nombre significatif d'entre elles, ne nécessitant aucune formation spécifique (telles des activités de surveillance ou d'ouvrière d'usine), sont adaptées aux problèmes physiques de la recourante et, en règle générale, disponibles indépendamment de l'âge de l'intéressée sur le marché équilibré du travail. Une telle activité, qui permettrait à la recourante, compte tenu d'un taux abattement de 10%, de réaliser un revenu de 46'230 fr. 91, comme le retient à juste titre la décision litigieuse, serait à même d'augmenter considérablement sa capacité de gain, au vu du revenu assez bas réalisable dans son salon de coiffure. Ce dernier s'élevait en effet de 2003 à 2006, soit avant l'atteinte à la santé, à une moyenne de 18'398 fr. 50 [(17'832 + 18'297 + 19'255 + 18'210) / 4], montant qui, indexé à 2008 (+ 1,6% et + 2% [Office fédéral de la statistique, indice suisse des salaires]) s'élève à 19'066 fr. 72. Dès 2007, il a par ailleurs chuté à 9'706 fr. puis à 2'505 francs.</w:t>
      </w:r>
    </w:p>
    <w:p>
      <w:r>
        <w:t>- 16 - En conclusion, il convient de retenir que, fin 2008, soit moins de six mois après la demande de prestations d'invalidité (cf. art. 29 al. 1 LAI), la recourante disposait d'une pleine capacité de gain dans une activité adaptée à ses limitations fonctionnelles et qu'un changement d'activité professionnelle était pleinement exigible de sa part. C'est donc à juste titre que l'intimé lui a nié le droit à une rente d'invalidité.</w:t>
      </w:r>
    </w:p>
    <w:p>
      <w:r>
        <w:rPr>
          <w:b/>
        </w:rPr>
        <w:t>E. 5</w:t>
      </w:r>
    </w:p>
    <w:p>
      <w:r>
        <w:t>En définitive, le recours, mal fondé, doit être rejeté et la décision attaquée confirmée. En dérogation à l'art. 61 let. a LPGA, la procédure de recours en matière de contestations portant sur l'octroi ou le refus de prestations de l'AI devant le tribunal cantonal des assurances sociales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