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ZD10.039176 vom 14. März 2012</w:t>
      </w:r>
    </w:p>
    <w:p>
      <w:r>
        <w:t>VD Tribunal cantonal, 2012-03-14, FR</w:t>
      </w:r>
    </w:p>
    <w:p>
      <w:r>
        <w:rPr>
          <w:b/>
        </w:rPr>
        <w:t xml:space="preserve">Quelle: </w:t>
      </w:r>
      <w:r>
        <w:t>https://mcp.opencaselaw.ch/entscheid/vd_gerichte_ZD10.039176</w:t>
      </w:r>
    </w:p>
    <w:p>
      <w:r>
        <w:t>FR: VD_GERICHTE ZD10.039176 du 14 mars 2012</w:t>
      </w:r>
    </w:p>
    <w:p>
      <w:r>
        <w:t>IT: VD_GERICHTE ZD10.039176 del 14 marzo 2012</w:t>
      </w:r>
    </w:p>
    <w:p>
      <w:pPr>
        <w:pStyle w:val="Heading2"/>
      </w:pPr>
      <w:r>
        <w:t>Erwägungen</w:t>
      </w:r>
    </w:p>
    <w:p>
      <w:r>
        <w:rPr>
          <w:b/>
        </w:rPr>
        <w:t>E. 17</w:t>
      </w:r>
    </w:p>
    <w:p>
      <w:r>
        <w:t>octobre 2011 en raison d'une ischémie critique du membre inférieur gauche sur sténose intrastent de l'AFP gauche. Ces éléments sont manifestement postérieurs à la décision litigieuse du 1er novembre 2010 et rien n'incite à penser qu'ils seraient de nature à influencer l'appréciation au moment où cette décision a été rendue (cf. consid. 2b supra). Aussi ne peuvent-ils être pris en compte par l'autorité de céans pour examiner le bien-fondé de la décision attaquée. En revanche, il appartiendra à l'OAI d'en tenir compte et, le cas échéant, de procéder aux mesures d'instruction utiles, dans le cadre de la nouvelle demande de prestations déposée par le recourant en date du 21 mai 2011 – ainsi que l'autorité intimée en a elle-même convenu dans ses déterminations du 20 décembre 2011 (cf. let. B.d supra). d) En définitive, force est de constater que les pièces du dossier ne permettent pas de conclure à l'existence d'une aggravation de l'état de santé du recourant susceptible d’influencer sa capacité de travail et de gain à la date du prononcé de la décision attaquée. Par conséquent, en tant qu'elle concerne l'état de fait déterminant jusqu'au 1er novembre 2010, l'appréciation de l'OAI sur la question ne peut qu'être confirmée par la Cour de céans. Il reviendra cependant à l'autorité intimée, lorsqu'elle examinera la nouvelle demande déposée par le recourant le 21 mai 2011, de prendre en compte les éléments y relatifs exposés aux considérants 4b et 4c ci-dessus. 5. Au demeurant, bien que ce aspect ne soit nullement contesté par le recourant, il convient de constater que le taux d'invalidité de 0% retenu par l'autorité intimée (cf. let. A.f supra) s'avère correct dans son résultat, alors même qu'il repose sur des données erronées. a) Conformément à l'art. 16 LPGA, pour établir le taux d’invalidité des personnes qui exerceraient une activité lucrative à plein</w:t>
      </w:r>
    </w:p>
    <w:p>
      <w:r>
        <w:t>- 19 - temps si elles n’étaient pas atteintes dans leur santé, il y a lieu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(méthode ordinaire de comparaison des revenus; cf. ATF 130 V 343 consid. 3.4). b) En l’espèce, il est constant que l’année de comparaison des revenus est 2010, année de l’ouverture du droit éventuel à la rente (ATF 128 V 174 consid. 4a), soit un an après le début, le 16 février 2009, de l’incapacité de travail durable dans l’activité habituelle (art. 28 al. 1 let. b LAI). S'agissant du revenu de valide, l'OAI l'a évalué à 43'979 fr., sur la base du salaire prévu en 2009 par la convention collective nationale de travail pour les hôtels, restaurants et cafés, pour une personne sans formation professionnelle (cf. détail du calcul exigible établi le 9 septembre 2010 par l'OAI). Il apparaît ainsi que l'office ne s'est pas fondé sur l’année de référence pour la comparaison des revenus, à savoir 2010. Ce point ne porte toutefois pas à conséquence, dès lors que le salaire prévu par la convention précitée n'a pas évolué entre 2009 et 2010 pour les personnes sans formation professionnelle (cf. art. 10 de la convention de 2009 et art. 10 de la convention de 2010). En ce qui concerne le revenu d'invalide, la décision attaquée se base à juste titre sur le salaire mensuel de 4'806 ressortant de l'ESS 2008 pour les hommes effectuant des activités simples et répétitives dans le secteur privé, part au 13ème salaire comprise (ESS 2008, TA1, niveau de qualification 4). Ce salaire doit toutefois être adapté compte tenu du fait que les salaires bruts standardisés se basent sur un horaire de travail de quarante heures, soit une durée hebdomadaire inférieure à celle prévalant dans les entreprises en 2008, à savoir 41,6 heures (La Vie économique 12- 2011, tableau B 9.2, p. 98) et non 41,7 heures tel qu'indiqué par l'OAI dans la décision entreprise. Il y dès lors lieu de se fonder sur un revenu</w:t>
      </w:r>
    </w:p>
    <w:p>
      <w:r>
        <w:t>- 20 - d'invalide de 4'998 fr. 24 par mois (4'806 fr. x 41,6 : 40 heures) correspondant à un montant 59'978 fr. 88 par année. S'agissant de l'indexation des salaires, la décision litigieuse tient compte d'un taux de 2,10%, lequel ne se rapporte qu'à l'indexation de 2008 à 2009 (La Vie économique 12-2011, tableau B 10.2, p. 99); l'office intimé a donc omis de tenir compte de l'indexation de 0,8% de 2009 à 2010 (cf. ibid.). Partant, le revenu corrigé après indexation de 2008 à 2010 doit être fixé à 61'728 fr. 34. Enfin, compte tenu d'un abattement de 10% qui ne semble pas critiquable au vu des circonstances de l'espèce, le revenu d'invalide s'élève en définitive à 55'555.50 et non à 55'247 fr. 08 tel que retenu par l'office intimé. De la comparaison des revenus avec et sans invalidité qui précèdent (de respectivement 55'555 fr. 50 et 43'979 fr.), il ressort en définitive un taux d'invalidité nul, n'ouvrant pas le droit à des prestations de l'AI. Ainsi, quand bien même les calculs de l'office intimé sont erronés, il demeure que l'absence de préjudice économique constaté par l'OAI doit être confirmé. 6. a) Vu ce qui précède, le recours, mal fondé, doit être rejeté, et la décision attaquée confirmée, le dossier de la cause étant pour le surplus renvoyé à l'OAI pour que cet office statue sur la nouvelle demande déposée par l'assuré le 21 mai 2011 à la lumière des éléments exposés aux considérants 4b et 4c ci-dessus.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 VD). Il n'y a pas lieu d'allouer de dépens, puisque le recourant n'obtient pas gain de cause (art. 61 let. g LPGA et 55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