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ZD10.038586 vom 14. Oktober 2011</w:t>
      </w:r>
    </w:p>
    <w:p>
      <w:r>
        <w:t>VD Tribunal cantonal, 2011-10-14, FR</w:t>
      </w:r>
    </w:p>
    <w:p>
      <w:r>
        <w:rPr>
          <w:b/>
        </w:rPr>
        <w:t xml:space="preserve">Quelle: </w:t>
      </w:r>
      <w:r>
        <w:t>https://mcp.opencaselaw.ch/entscheid/vd_gerichte_ZD10.038586</w:t>
      </w:r>
    </w:p>
    <w:p>
      <w:r>
        <w:t>FR: VD_GERICHTE ZD10.038586 du 14 octobre 2011</w:t>
      </w:r>
    </w:p>
    <w:p>
      <w:r>
        <w:t>IT: VD_GERICHTE ZD10.038586 del 14 ottobre 2011</w:t>
      </w:r>
    </w:p>
    <w:p>
      <w:pPr>
        <w:pStyle w:val="Heading2"/>
      </w:pPr>
      <w:r>
        <w:t>Erwägungen</w:t>
      </w:r>
    </w:p>
    <w:p>
      <w:r>
        <w:rPr>
          <w:b/>
        </w:rPr>
        <w:t>E. 4</w:t>
      </w:r>
    </w:p>
    <w:p>
      <w:r>
        <w:t>a) A teneur de l'art. 16 LPGA, pour évaluer le taux d'invalidité d'un assuré, le revenu qu'il aurait pu obtenir s'il n'était pas invalide est comparé avec celui qu'il pourrait obtenir en exerçant l'activité qui peut raisonnablement être exigée de lui après les traitements et les mesures de réadaptation, sur un marché du travail équilibré. Est déterminante, pour l'évaluation du taux d'invalidité, l'activité raisonnablement exigible de l'assuré compte tenu de l'atteinte à sa santé, et non pas celle effectivement accomplie par l'assuré (ATF 107 V 17 consid. 2c et 105 V 176 consid. 2). Si, après la survenance de l'atteinte à la santé, l'assuré n'a pas repris d'activité, ou alors aucune activité adaptée normalement exigible, le revenu d'invalide peut être évalué sur la base des statistiques sur les salaires moyens tel que ceux-ci ressortissent de l'ESS (ATF 126 V 75 consid. 3b/bb et 124 V 321 consid. 3b/aa; TF 9C_104/2009 du 31 décembre 2009, consid. 5.2; TFA I 864/2005 du 26 octobre 2006, consid. 2.5 et I 298/2004 du 21 juillet 2005, consid. 6; RCC 1991 p. 332 consid. 3c).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b) En l'espèce, le calcul du revenu d'invalide du recourant se base sur le salaire mensuel brut de 4'557 fr. tel que ressortant de l'ESS 2002, soit un revenu annuel brut (part au 13e salaire comprise) de 54'684 francs. Adapté à l'horaire de travail hebdomadaire usuel moyen dans le</w:t>
      </w:r>
    </w:p>
    <w:p>
      <w:r>
        <w:t>- 22 - secteur d'activité concerné, soit 41.7 h. en 2002, on obtient un revenu d'invalide annuel brut de 57'008 fr. 07 ([54'684 fr. / 40] x 41.7). aa) Lorsqu'il est fait application des valeurs statistiques de l'ESS,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cf. pour exemple TF 9C_91/2010 du 2 juillet 2010, consid. 4.1).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juge ne peut, sans motif pertinent, substituer son appréciation à celle de l'administration (ATF 126 V 75 consid. 5b/dd).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(TF 9C_280/2010 du 12 avril 2011). En l'occurrence, le taux de 15% retenu par l'OAI tient compte dans une mesure satisfaisante du désavantage salarial causé du fait des limitations somatiques liées au handicap telles que retenues par les experts judiciaires ainsi que des autres facteurs personnels pouvant entrer en considération. La cour de céans ne s'écartera dès lors pas de</w:t>
      </w:r>
    </w:p>
    <w:p>
      <w:r>
        <w:t>- 23 - l'appréciation de l'administration. Partant, après déduction d'un abattement de 15%, le revenu d'invalide réalisable en 2002 s'établit en définitive à 48'456 fr. 86 (57'008 fr. 07 x 0.85). bb) Après comparaison entre le revenu sans invalidité (50'289 fr.20) et le revenu avec invalidité (48'456 fr. 86) réalisables en 2002, il en résulte un préjudice économique de 1'832 fr. 35, correspondant à un taux d'invalidité de 3,64% ([1'832 fr. 35 / 50'289 fr.20] x 100), arrondi à 4% (ATF 130 V 121). c) On constate que le taux d'invalidité du recourant étant inférieur au seuil minimum de 40% (art. 28 al. 1 LAI dans sa teneur en vigueur jusqu'au 31 décembre 2003, puis dans celle consécutive aux 4e et 5e révision de l'AI), il n'existe aucun droit à la rente. La décision de refus rendue le 19 octobre 2010 par l'OAI s'avère donc correcte dès lors que l'invalidité du recourant n'était pas susceptible de lui ouvrir le droit à la rente. Pour le surplus, on relèvera que même un abattement de 20% n'aurait pas ouvert droit à la rente (le revenu d'invalide réalisable en 2002 s'établirait en définitive à 45'606 fr. 40 [57'008 fr. 07 x 0.80]. Après comparaison avec le revenu sans invalidité [50'289 fr.20], il en résulterait un préjudice économique de 4'682 fr. 80, correspondant à un taux d'invalidité de 9,31% [{4'682 fr. 80 / 50'289 fr.20} x 100], arrondi à 9% [ATF 130 V 121]).</w:t>
      </w:r>
    </w:p>
    <w:p>
      <w:r>
        <w:rPr>
          <w:b/>
        </w:rPr>
        <w:t>E. 5</w:t>
      </w:r>
    </w:p>
    <w:p>
      <w:r>
        <w:t>Au vu de ce qui précède, le recours, mal fondé,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w:t>
      </w:r>
    </w:p>
    <w:p>
      <w:r>
        <w:t>- 24 - matière de droit des assurances sociales, RSV 173.36.5.2], applicable par renvoi de l'art. 69 al. 1bis LAI). En l'espèce, compte tenu de l'ampleur de la procédure, les frais de justice doivent être arrêtés à 500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