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ZD10.037336 vom 3. April 2014</w:t>
      </w:r>
    </w:p>
    <w:p>
      <w:r>
        <w:t>VD Tribunal cantonal, 2014-04-03, FR</w:t>
      </w:r>
    </w:p>
    <w:p>
      <w:r>
        <w:rPr>
          <w:b/>
        </w:rPr>
        <w:t xml:space="preserve">Quelle: </w:t>
      </w:r>
      <w:r>
        <w:t>https://mcp.opencaselaw.ch/entscheid/vd_gerichte_ZD10.037336</w:t>
      </w:r>
    </w:p>
    <w:p>
      <w:r>
        <w:t>FR: VD_GERICHTE ZD10.037336 du 3 avril 2014</w:t>
      </w:r>
    </w:p>
    <w:p>
      <w:r>
        <w:t>IT: VD_GERICHTE ZD10.037336 del 3 aprile 2014</w:t>
      </w:r>
    </w:p>
    <w:p>
      <w:pPr>
        <w:pStyle w:val="Heading2"/>
      </w:pPr>
      <w:r>
        <w:t>Erwägungen</w:t>
      </w:r>
    </w:p>
    <w:p>
      <w:r>
        <w:rPr>
          <w:b/>
        </w:rPr>
        <w:t>E. 26</w:t>
      </w:r>
    </w:p>
    <w:p>
      <w:r>
        <w:t>juin 2001 étaient remplies et qu’il devait reprendre un travail adapté au plus vite avec l’aide de l’assurance-invalidité. La CNA continuait toutefois à lui verser de manière provisoire l’indemnité journalière à 100%.</w:t>
      </w:r>
    </w:p>
    <w:p>
      <w:r>
        <w:t>- 4 - Par décision du 22 octobre 2003, la CNA a octroyé à l’assuré une indemnité pour atteinte à l’intégrité de 21’360 fr, soit 20% du gain annuel fixé à 106’800 francs. b) Dans l’intervalle, soit le 14 janvier 2003, N.________ a déposé une demande de prestations auprès de l’Office de l’assurance- invalidité pour le canton de Vaud (ci-après : l’OAI ou l’intimé) tendant à l’octroi d’une rente, faisant état de déchirures ligamentaires aux deux poignets et d’opération successive aux deux poignets. Dans un rapport médical du 30 janvier 2003 à l’OAI, le Dr W.________ a attesté une totale incapacité de travail dès le 26 juin 2001 en raison d’une dissociation scapho-lunaire symptomatique post- traumatique aux deux poignets. Il a estimé que l’activité exercée jusqu’ici n’était plus exigible et qu’une activité sans sollicitation nouvelle (lourde ou répétitive) était envisageable. Dans un questionnaire complété par l’employeur le 7 mars 2003, il est indiqué que l’assuré aurait perçu en 2003 un salaire de 4’175 fr. versé 13 fois l’an en qualité de monteur-électricien. Au vu de ces éléments, l’OAI a soumis le cas de l’assuré à l’examen de son Service médical régional (ci-après : le SMR). Dans son rapport du 11 novembre 2003, le Dr X.________ a constaté la persistance de douleurs aux mouvements répétitifs ou en force des deux poignets. Il a conclu que dans toute activité tenant compte des limitations fonctionnelles (pas de travaux répétitifs au niveau des deux membres supérieurs, ni de port de charges de plus de 5 kg, ni de mouvements contre résistance), l’assuré ne présentait pas de réduction de sa capacité de travail (que ce soit en temps ou en rendement), et ce dès janvier 2003 (date du rapport du Dr W.________). Il a enfin précisé que cet avis était partagé par les Drs W.________ et F.________.</w:t>
      </w:r>
    </w:p>
    <w:p>
      <w:r>
        <w:t>- 5 - Dans un rapport initial du 26 mai 2004, la division réadaptation de l’assurance-invalidité (ci-après : la REA) a préconisé une visite au Centre d’Intégration Professionnelle (ci-après : le CIP) à [...] afin de définir dans quel domaine l’assuré pouvait mettre en valeur sa capacité de travail, en tenant compte de ses acquis professionnels et de ses limitations professionnelles. Dans ce cadre, il a suivi un stage d’observation du 3 août au</w:t>
      </w:r>
    </w:p>
    <w:p>
      <w:r>
        <w:rPr>
          <w:b/>
        </w:rPr>
        <w:t>E. 31</w:t>
      </w:r>
    </w:p>
    <w:p>
      <w:r>
        <w:t>mai 2010, à la fiche du 5 janvier 2010 relative au détail du calcul du salaire exigible, à l’avis du juriste du 16 septembre 2008, ainsi qu’à l’avis du SMR du 25 novembre 2009. Il estime que le rapport d’ergothérapie produit n’est pas de nature à jeter un doute sérieux sur son analyse médicale de la situation. Dans sa réplique du 10 mars 2011, le recourant conteste la valeur probante de l’expertise réalisée par le Q._________. Sur le plan économique, il conteste la détermination du revenu d’invalide en se référant aux données ESS relatives à des activités simples et répétitives dans le secteur privé, compte tenu de ses limitations fonctionnelles aux deux poignets. Si l’avis de la division de réadaptation ne constitue pas une décision finale, il reflète toutefois ses possibilités réelles de réinsertion sur un marché du travail équilibré. Il produit un rapport du 7 mars 2011 de la Dresse J.________ (laquelle exerce désormais une activité de médecin généraliste au [...]), faisant état d’une symptomatologie psychiatrique datant de plusieurs années et qualifiée de stationnaire. Compte tenu du pronostic réservé surtout au vu du dernier échec aux ateliers [...], cette praticienne a conclu à une totale incapacité de travail. Dans sa duplique du 7 avril 2011, l’intimé confirme les conclusions prises dans le cadre de sa réponse. Le fait que le port de charge ne soit finalement envisageable qu’à raison de 3 kg n’est pas de nature à restreindre ou à empêcher l’exercice d’activités telles que mentionnées dans son courrier du 31 mai 2010. S’agissant de l’aspect psychiatrique, l’intimé se réfère notamment au rapport d’expertise du Q._________ du 2 novembre 2009 et à l’avis du SMR du 25 novembre 2009. Les rapports produits ultérieurement par le recourant n’ont pas fait état d’une modification significative de la situation depuis l’été 2009. Le 27 septembre 2012, le recourant fournit des déterminations complémentaires et produits divers documents en lien avec la procédure en matière d’assurance-accidents.</w:t>
      </w:r>
    </w:p>
    <w:p>
      <w:r>
        <w:t>- 17 - Le 4 octobre 2012, l’intimé renonce à formuler des observations. Le 7 novembre 2012, la mandataire du recourant fournit un résumé de ses activités et réitère sa demande d’expertise pluridisciplinaire. E n d r o i t : 1.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canton de Vaud, la procédure de recours est régie par la LPA-VD (loi du 28 octobre 2008 sur la procédure administrative; RSV 173.36). La Cour des assurances sociales du Tribunal cantonal est compétente pour statuer (cf. art. 93 let. a LPA-VD). Dans le cas présent, le recours a été formé en temps utile et dans le respect des formalités prévues par la loi (art. 61 let. b LPGA notamment), de sorte qu’il est recevable. 2. En l’espèce, le litige porte sur le point de savoir si le recourant présente une incapacité de travail justifiant le maintien du droit à la rente au-delà du 3 novembre 2004, singulièrement celle de l’évaluation de l’invalidité à laquelle l’intimé a procédé. En effet, il ressort de la décision attaquée du 18 octobre 2010, que l’intimé a reconnu au recourant le droit</w:t>
      </w:r>
    </w:p>
    <w:p>
      <w:r>
        <w:t>- 18 - à une rente entière d’invalidité limitée dans le temps, soit du 1er juin 2002 au 3 novembre 2004, la rente étant réduite durant la période de versement de l’indemnité journalière AI conformément à l’art. 47 LAI. Ce dernier conclut à l’annulation de cette décision, principalement au versement d’une rente entière d’invalidité non limitée dans le temps. 3.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Par conséquent, le droit à la rente doit être examiné après le 1er janvier 2003, respectivement le 1er janvier 2004, en fonction des nouvelles normes de la LPGA et des modifications de la LAI consécutives à la 4e révision de cette loi, en vigueur jusqu’au 31 décembre 2007 (cf. au surplus pour le droit transitoire : TF 8C_254/2010 du 15 septembre 2010 consid. 2; ATF 132 V 215 consid. 3.1.1; ATF 130 V 445). En tout état de cause, les principes développés jusqu’à ce jour par la jurisprudence en matière d’évaluation de l’invalidité conservent leur pertinence, quelle que soit la version de la loi sous laquelle ils ont été posés.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- 19 - longue durée, l’activité qui peut être exigée de l’assuré peut aussi relever d’une autre profession ou d’un autre domaine d’activité. Selon l’art. 28 al. 1 aLAI, l’assuré a droit à une rente entière s’il est invalide à 66 ⅔% au moins, à une demie-rente s’il est invalide à 50% au moins, ou à un quart de rente s’il est invalide à 40 % au moins.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w:t>
      </w:r>
    </w:p>
    <w:p>
      <w:r>
        <w:t>- 20 -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 5. a) Selon la jurisprudence, une décision par laquelle l’assurance-invalidité accorde une rente d’invalidité avec effet rétroactif et, en même temps, prévoit la suppression de cette rente, correspond à</w:t>
      </w:r>
    </w:p>
    <w:p>
      <w:r>
        <w:t>- 21 -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w:t>
      </w:r>
    </w:p>
    <w:p>
      <w:r>
        <w:t>- 22 - la rente (TFA I 755/04 du 25 septembre 2006 consid. 5.1; TFA I 406/05 du 13 juillet 2006 consid. 4.1, les deux avec références citées). b)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c)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6. Dans un premier moyen, le recourant critique la valeur probante de l’expertise psychiatrique du Q._________, il observe qu’une</w:t>
      </w:r>
    </w:p>
    <w:p>
      <w:r>
        <w:t>- 23 - expertise pluridisciplinaire aurait dû être mise en œuvre laquelle aurait permis de définir l’exigibilité en tenant compte de l’ensemble des atteintes somatiques et psychiques dont il souffre. a) En l’occurrence, il s’avère que seule l’affection aux deux poignets a motivé le dépôt d’une demande de prestations AI et l’octroi d’une rente entière. Le recourant a été victime d’un accident professionnel le 26 juin 2001 qui a entraîné une dissociation scapho-lunaire majeure aux deux poignets. Il a bénéficié d’une reconstruction ligamentaire scapho-lunaire au poignet droit le 6 septembre 2001 et au poignet gauche le 21 mars 2002, ainsi qu’une ablation des broches le 14 mai 2002. Il n’est pas contesté que le recourant n’est plus en mesure de reprendre l’activité habituelle de monteur-électricien compte tenu des atteintes aux deux poignets. D’un point de vue médico-théorique, le SMR s’est référé à des activités légères, excluant le port de charges de plus de 5 kg, les travaux répétitifs au niveau des deux membres supérieurs et les mouvements contre résistance (rapport du 11 novembre 2003). Il a dès lors considéré que le recourant ne présentait pas de réduction de sa capacité de travail (que ce soit en temps ou en rendement) et ce, dès janvier 2003 (date du rapport du Dr W.________ du 30 janvier 2003). Cet avis est partagé par le Dr W.________ qui a admis qu’une activité sans sollicitation nouvelle (lourde ou répétitive) était envisageable (rapport du 30 janvier 2003). Le Dr F.________, quant à lui, a finalement considéré dans son appréciation médicale du 19 août 2003 relative à l’exigibilité que le recourant était en mesure de reprendre une activité ne nécessitant pas de port de charges lourdes, de force au niveau des deux mains et ce, dans le cadre d’un horaire normal de travail avec un rendement de 100%. Il a toutefois précisé que le port de charges ne pouvait excéder 3 kg (appréciation médicale du 14 août 2003), précision à laquelle s’est rallié l’intimé dans le cadre de sa duplique du 7 avril 2011, compte tenu de l’arrêt rendu par la Cour des assurances sociales du Tribunal cantonal le 1er novembre 2010 cité plus haut et que le recourant n’a pas contesté.</w:t>
      </w:r>
    </w:p>
    <w:p>
      <w:r>
        <w:t>- 24 - Dans son recours, l’assuré estime qu’il convient de tenir compte d’autres pathologies somatiques, argument qui n’emporte toutefois pas la conviction de l’autorité de céans. En effet, le Dr K.________, médecin traitant de l’assuré, n’a retenu aucun diagnostic avec effet sur la capacité de travail de son patient, précisant tout au plus que les diagnostics de diabète et d’asthme n’avaient aucune influence sur sa capacité de travail (rapport médical du 17 mars 2008). Le Dr H.________, pneumologue, a exposé qu’une activité ne demandant pas d’effort physique pouvait être raisonnablement exigée sans restriction, les activités physiques dans un environnement poussiéreux avec exposition au froid ou au chaud devant être évitées (courrier du 11 juillet 2007). Quant au syndrome d’apnées du sommeil, le Dr I.________ du SMR a indiqué qu’au vu des valeurs mesurées, les restrictions étaient quasiment inexistantes, seuls les métiers comme pilote de ligne ou chauffeur de car pouvant provoquer des risques pour la collectivité publique, professions qui ne sauraient toutefois être considérées en l’espèce comme des activités adaptées (note interne de l’OAI du 20 septembre 2006). Dans le cadre de son recours, l’assuré a allégué qu’il souffrait de douleurs lombaires, argument qui doit être écarté en l’absence de tout document médical attestant une quelconque incapacité de travail pour ce motif. Le recourant ne présente dès lors pas d’atteinte physique invalidante autre que celle attestée aux deux poignets, raison pour laquelle un complément d’expertise sur ce point se révèle superflu. b) Le recourant invoque enfin l’existence d’une pathologie psychiatrique. Il ressort du dossier qu’après un suivi de février à juin 2000, puis une reprise de contact en mars 2006, l’assuré a bénéficié d’un suivi régulier depuis février 2007 auprès de l’Y._________ de [...], puis auprès de la Dresse J.________ depuis le 1er octobre 2009. Dans un premier temps, l’Y._________ a posé les diagnostics d’état de stress post-traumatique et de trouble dépressif récurrent, épisode dépressif moyen avec syndrome somatique (rapport du 6 août 2008). Puis, après avoir pris connaissance de l’avis médical du SMR du 3 novembre 2008, l’Y._________ a retenu les diagnostics de trouble dépressif récurrent, épisode moyen et de</w:t>
      </w:r>
    </w:p>
    <w:p>
      <w:r>
        <w:t>- 25 - modification durable de la personnalité développés progressivement depuis un accident de travail survenu le 26 juin 2001 (rapport du 23 mars 2009). Dans son rapport d’expertise du 2 novembre 2009, le Dr M.________ a expliqué pour quels motifs il ne pouvait retenir les diagnostics précités, après avoir pris connaissance des rapports de l’Y._________ des 6 août 2008 et 23 mars 2009. Il a ainsi constaté que le recourant reconnaissait lui-même que l’accident en soi avait été banal et qu’à aucun moment, il n’avait eu peur pour son intégrité physique. Il n’avait pas non plus développé par la suite de symptômes typiques d’un état de stress post-traumatique, diagnostic finalement posé six ans après l’événement traumatique, en l’absence d’éléments dans ce sens dans les rapports antérieurs des différents intervenants. L’expert a dès lors exclu le diagnostic de syndrome de stress post-traumatique. En outre, s’il a clairement relevé l’accentuation de certains traits de personnalité, principalement narcissiques, il a toutefois conclu qu’ils ne constituaient pas un trouble. Il a également relevé que l’on pouvait attendre du recourant qu’il fasse un effort pour effectuer les tâches que les somaticiens estimaient possibles. A ce propos, il a rappelé que le recourant s’était toujours occupé de son hygiène, de ses affaires administratives et de ses besoins. II n’avait en outre pas montré de difficultés relationnelles au cours de ses stages, ni lors de l’entretien avec l’expert, ce qui confortait la notion que les difficultés qu’il rencontrait (isolement, sentiment de honte) n’étaient pas suffisantes pour poser un diagnostic de trouble de personnalité, selon la CIM-10. S’agissant du trouble dépressif, l’expert a rappelé que l’intensité avait été qualifiée de moyenne par les intervenants, ce qui n’était pas nécessairement incompatible avec un travail. L’expert a toutefois conclu à la présence d’un épisode dépressif léger compte tenu de l’observation clinique montrant une humeur triste, mais pas effondrée, sans idées noires, ni idées suicidaires, ni troubles de l’attention-concentration, ni troubles de la mémoire. L’expert a toutefois conclu que ce diagnostic ne permettait pas la reconnaissance d’une incapacité de travail. Le rapport d’expertise psychiatrique du 2 novembre 2009 du Dr M.________ repose sur des examens complets et son contenu répond en</w:t>
      </w:r>
    </w:p>
    <w:p>
      <w:r>
        <w:t>- 26 - tous points aux exigences de la jurisprudence en ce qui concerne la valeur probante des expertises médicales (ATF 134 V 231 et 125 V 351). Les conclusions de l’expert se fondent sur un entretien avec le recourant, sur l’ensemble du dossier de l’intimé, y compris les rapports médicaux des psychiatres traitants. L’expert a également décrit et pris en considération les plaintes exprimées par le recourant. Les raisons pour lesquelles des signes dépressifs d’un degré léger selon la terminologie de la CIM-10, sont les mieux à même de décrire la psychopathologie du recourant, ont fait l’objet d’une démonstration convaincante. Il en va de même des raisons pour lesquelles l’expert considère que l’on peut écarter d’autres troubles psychiatriques et en particulier un état de stress post-traumatique, ainsi qu’une modification durable de la personnalité. A cet égard, le recourant semble méconnaître le fait que la fixation de la gravité d’un trouble dépressif ou d’un trouble de la personnalité par exemple, ainsi que leur évolution est, par essence, toujours le fruit de l’exercice du pouvoir d’appréciation. C’est ainsi que le caractère fiable de constatations psychiatriques est très limité, en particulier lorsque les diagnostics portent sur des troubles dépressifs mis en évidence par des médecins traitants ou lors de situations de crise. Il s’ensuit que la mise en œuvre d’une nouvelle expertise psychiatrique ne serait justifiée que dans l’éventualité où l’appréciation des médecins de l’Y._________ ou de la Dresse J.________ devait contenir des éléments objectifs mettant en doute les conclusions de l’expert M.________ quant aux répercussions des troubles présentés sur la capacité de travail du recourant, ce qui n’est pas le cas en l’occurrence. En effet, les rapports de l’Y._________ du 9 juillet 2010 et de la Dresse J.________ du 7 mars 2011 ne sont pas suffisamment pertinents pour remettre en cause les conclusions de l’expert, la Dresse J.________ n’étant au demeurant pas une spécialiste en psychiatrie (cf. rapport de la Dresse J.________ du 7 mars 2011). Quant aux médecins de l’Y._________, ils ont de manière constante fait état du diagnostic de modification durable de la personnalité (rapports des 23 mars 2009 et 9 juillet 2010), y compris à l’époque de l’expertise psychiatrique du recourant par le Q._________, lequel a clairement expliqué les motifs pour lesquels un tel diagnostic ne pouvait être retenu.</w:t>
      </w:r>
    </w:p>
    <w:p>
      <w:r>
        <w:t>- 27 - c) Au vu des éléments précités, l’intimé était dès lors fondé à conclure que le recourant était en mesure d’exercer une activité adaptée dès le mois de janvier 2003, après avoir présenté une totale incapacité de travail dans toute activité dès le 26 juin 2001 justifiant l’octroi d’une rente entière d’invalidité dès le 1er juin 2002. 7. Il convient dès lors d’examiner l’incidence de ce changement dans la capacité de travail du recourant sur le taux d’invalidité qu’il présente, à savoir une pleine capacité de travail dans une activité adaptée à ses limitations fonctionnelles. En d’autres termes, il s’agit de déterminer la perte de gain que subirait le recourant dans l’exercice d’une activité médicalement exigible. La comparaison doit se faire au regard de la situation prévalant en janvier 2003, dès lors que l’amélioration de la capacité de travail remonte à cette période (ATF 129 V 233 consid. 4.2 ; art. 88a al. 1 RAI).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w:t>
      </w:r>
    </w:p>
    <w:p>
      <w:r>
        <w:t>- 28 - décision (Meyer-Blaser, Bundesgesetz über die Invalidenversicherung (IVG), 1997, pp. 205 et 206). b) In casu, en tant que le recourant critique le montant du revenu sans invalidité retenu par l’intimé, le grief doit être écarté. Il ressort du questionnaire complété par l’employeur le 7 mars 2003, que le recourant aurait perçu en 2003 en qualité de monteur-électricien un salaire de 4’175 fr. versé 13 fois l’an. C’est dès lors à juste titre que l’intimé a fixé le revenu que le recourant aurait pu réaliser sans invalidité à 54’275 francs. Ce montant est inférieur à celui finalement retenu par la CNA (57’000 fr.), laquelle a procédé à la comparaison des revenus en 2006. Cette différence n’a toutefois aucune influence sur le droit à la rente. c)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(niveau 4) dans le secteur privé, à savoir 54’684 fr. par année (ATF 124 V 321; ESS 2002, TA1, p. 43). Comme les salaires bruts standardisés tiennent compte d’un horaire de travail de 40 heures, soit une durée hebdomadaire inférieure à la moyenne usuelle dans les entreprises en 2003 (41,7 heures; La Vie économique, 9-2005, p. 90, B9.2), ce montant doit être porté à 57’008 fr. 05. Après adaptation de ce chiffre à l’évolution des salaires selon l’indice des salaires nominaux pour les hommes de l’année 2003 (1,4 %; La Vie économique, 9-2005, p. 91, B10.2), on obtient un revenu annuel de 57’806 fr. 20. Compte tenu des circonstances personnelles et professionnelles du cas particulier, l’abattement de 15% retenu par l’intimé paraît approprié, si bien que le gain annuel d’invalide se monte à 49’135 fr. 30. L’intimé est parvenu à un montant quasi identique, soit de 49’084 fr. 20, hypothèse plus favorable au recourant. Il s’ensuit que la comparaison des revenus aboutit, dans l’hypothèse la plus favorable au recourant, à un taux d’invalidité de 9,56%</w:t>
      </w:r>
    </w:p>
    <w:p>
      <w:r>
        <w:t>- 29 - arrondi à 10% (ATF 130 V 121), soit à un taux inférieur à la limite de 40% ouvrant droit à un quart de rente (cf. art. 28 al. 1 aLAI). Au demeurant, même en appliquant l’abattement maximum de 25% admis par la jurisprudence (ATF 126 V 75), le degré d’invalidité, arrondi, se monterait à 20% et n’ouvrirait donc aucun droit à une rente. 8. Le recourant considère qu’il ne peut concrètement pas exploiter sa capacité résiduelle de travail sur le marché du travail et reproche dès lors à l’intimé de ne pas avoir suivi les conclusions du rapport du 22 mars 2006 de la REA, laquelle a conclu à l’absence de capacité de gain tant dans l’économie qu’en milieu protégé.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w:t>
      </w:r>
    </w:p>
    <w:p>
      <w:r>
        <w:t>- 30 - b) Compte tenu des limitations fonctionnelles présentées par le recourant (pas de travaux répétitifs au niveau des deux membres supérieurs, ni de port de charges de plus de 3 kg, ni de mouvements contre résistance), on doit admettre que les activités simples de surveillance, de vérification ou de contrôle ou d’autres activités consistant à approvisionner et à surveiller des machines ou des unités de production automatiques ou semi-automatiques, telles que décrites par l’intimé sont compatibles avec son handicap (courrier du 31 mai 2010 de l’OAI au recourant). En tenant compte du large éventail d’activités simples et répétitives ne nécessitant pas de formation dans les secteurs de la production et des services, les possibilités d’un emploi adapté aux limitations du recourant apparaissent suffisantes pour admettre qu’il puisse mettre en valeur sa capacité résiduelle de travail sur le plan économique. Il est vrai que suite à l’échec de la formation en bureautique, une conseillère en réadaptation a estimé – dans le cadre d’un rapport du 22 mars 2006 relatif à l’accessibilité du recourant à une formation intellectuelle – que ce dernier n’était plus en mesure d’exercer une activité lucrative dans l’économie. Ce point de vue s’est avéré incomplet, le recourant étant capable d’utiliser ses mains en respectant les limitations décrites tant par le SMR que le Dr F.________. En définitive, la Cour de céans ne saurait dès lors fonder son jugement sur le travail que le recourant s’estime capable de fournir, mais bien sur celui qui est objectivement compatible avec son état de santé, tel qu’il ressort des rapports médicaux ayant valeur probante. Enfin,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9. Ainsi, au regard de la jurisprudence exposée ci-dessus, les griefs développés par le recourant à l’appui de son recours ne permettent pas d’établir une violation du droit fédéral. La décision attaquée n’est, par conséquent, pas critiquable dans son résultat et doit être confirmée, ce qui conduit au rejet du recours.</w:t>
      </w:r>
    </w:p>
    <w:p>
      <w:r>
        <w:t>- 31 - En conséquence, c’est à juste titre que l’intimé a octroyé une rente entière d’invalidité dès le 1er juin 2002 (soit à l’issue du délai d’attente d’un an) et uniquement jusqu’au 3 novembre 2004 (soit trois mois après le début du versement des indemnités journalières lors du stage d’observation au CIP; solution favorable au recourant, le SMR ayant fixé la reconnaissance d’une pleine capacité de travail dans une activité adaptée au mois de janvier 2003), la rente étant réduite durant la période de versement de l’indemnité journalière AI conformément à l’art. 47 LAI. 10. Il reste à statuer sur les frais et dépens (art. 91 LPA-VD, applicable par renvoi de l’art. 99 LPA-VD).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 VD).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