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ZD10.035237 vom 28. Juni 2011</w:t>
      </w:r>
    </w:p>
    <w:p>
      <w:r>
        <w:t>VD Tribunal cantonal, 2011-06-28, FR</w:t>
      </w:r>
    </w:p>
    <w:p>
      <w:r>
        <w:rPr>
          <w:b/>
        </w:rPr>
        <w:t xml:space="preserve">Quelle: </w:t>
      </w:r>
      <w:r>
        <w:t>https://mcp.opencaselaw.ch/entscheid/vd_gerichte_ZD10.035237</w:t>
      </w:r>
    </w:p>
    <w:p>
      <w:r>
        <w:t>FR: VD_GERICHTE ZD10.035237 du 28 juin 2011</w:t>
      </w:r>
    </w:p>
    <w:p>
      <w:r>
        <w:t>IT: VD_GERICHTE ZD10.035237 del 28 giugno 2011</w:t>
      </w:r>
    </w:p>
    <w:p>
      <w:pPr>
        <w:pStyle w:val="Heading2"/>
      </w:pPr>
      <w:r>
        <w:t>Erwägungen</w:t>
      </w:r>
    </w:p>
    <w:p>
      <w:r>
        <w:rPr>
          <w:b/>
        </w:rPr>
        <w:t>E. 2</w:t>
      </w:r>
    </w:p>
    <w:p>
      <w:r>
        <w:t>Le recourant ne prétend plus, comme il l’avait fait dans la précédente procédure de recours ayant abouti à l’arrêt de la Cour des assurances sociales du 30 avril 2009, que des mesures d’ordre professionnel auraient encore dû être ordonnées par l’Office AI. Il ne conteste pas son refus d’entrer dans une démarche de réorientation professionnelle, parce qu’il estime ne pas pouvoir travailler à un taux supérieur à 50 % et que, précisément, les tâches qui lui sont confiées par son employeur actuel, à mi-temps, sont adaptées à son état de santé. Le recourant soutient en revanche qu’il a droit à une demi- rente d’invalidité. Il critique les constatations de l’OAI pour qui il disposerait d’une capacité de travail entière (à 100 %) dans une activité adaptée. Selon lui, les rapports des spécialistes du centre Orif établiraient qu’il n’a pas la possibilité de travailler à un taux supérieur à 50 %. a) Est réputée invalidité l'incapacité de gain totale ou partielle qui est présumée permanente ou de longue durée, résultant d'une infirmité congénitale, d'une maladie ou d'un accident (art. 8 al. 1 LPGA et</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w:t>
      </w:r>
    </w:p>
    <w:p>
      <w:r>
        <w:t>- 13 - donne droit à un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9C_609/2009 du 15 avril 2010, consid. 4.1). En particulier, la jurisprudence reconnaît qu'un rapport qui émane d'un SMR au sens de l'art. 69 al. 4 RAI (règlement sur l’assurance-invalidité, RS 831.201) a une valeur probante s'il remplit les exigences requises par la jurisprudence</w:t>
      </w:r>
    </w:p>
    <w:p>
      <w:r>
        <w:t>- 14 - (ATF 125 V 351 consid. 3a ; TFA I 573/04 du 10 novembre 2005, consid. 5.2 ;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 TF 8C_658/2008, 8C_662/2008 du 23 mars 2009, consid. 3.3.1). Selon la jurisprudence, 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(ATF 135 V 465). On relèvera en dernier lieu que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(TF I 531/4 du 11 juillet 2005). c) Dans la décision attaquée, l’OAI se réfère, sur le plan médical, à un avis du SMR du 14 avril 2010, qui lui-même renvoie à un rapport d’examen clinique du SMR du 18 août 2006. Les médecins du SMR ont estimé qu’il n’y avait pas eu, dans l’intervalle (2006-2010), d’élément médical nouveau déterminant; en outre, ils ont qualifié l’avis du médecin- conseil du centre Orif, le Dr E.________, de « superposable » (soit identique dans le résultat) au leur.</w:t>
      </w:r>
    </w:p>
    <w:p>
      <w:r>
        <w:t>- 15 - L’aménagement actuel du poste de travail du recourant, dans l’entreprise qui l’emploie depuis plusieurs années, paraît adapté à ses limitations fonctionnelles et problèmes de dos, s’agissant du type d’activités (finitions, travaux légers, etc.) qui se distinguent sensiblement de celles habituellement effectuées par un maçon. Cela n’a du reste pas été mis en doute par l’OAI. La question décisive est celle du taux de travail exigible dans une activité adaptée, que ce soit dans l’entreprise actuelle ou dans une autre entreprise. Le recourant affirme qu’il n’est pas en mesure, à cause de son état de santé, de travailler à un taux supérieur à 50 %. Le Dr W.________, spécialiste en rhumatologie qui avait examiné le recourant en 2004, n’avait pas été mesure de se prononcer sur cette question; il avait estimé nécessaire qu’un stage COPAI soit organisé préalablement. Le Dr H.________, autre spécialiste consulté à la même époque, n’avait pas été plus précis. Un stage d’observation professionnelle a été organisé en 2010. Les spécialistes en réadaptation ont retenu qu’il était douteux que le recourant puisse avoir au travail un taux de présence à 100 %, quelle que soit l’activité adaptée. Quant au médecin-conseil du centre Orif, il a déclaré « craindre que cet assuré ne pourra pas dépasser durablement le 50 % du temps et atteindre l’évaluation médico-théorique d’une pleine capacité de travail ». Une augmentation effective de la capacité de travail, de 50 à 100 %, a donc été considérée comme douteuse, y compris par un médecin. Dans un premier temps, le SMR a estimé que cette appréciation du centre Orif soulevait des questions sur le plan médical (avis médical du 24 février 2010). Ce n’est qu’ensuite que le SMR a considéré que l’avis du Dr E.________ était clairement « superposable » au sien. Les médecins du SMR ont donc en définitive, dans leur dernier rapport (du 14 avril 2010), interprété l’avis du Dr E.________ dans ce sens que c’est pour des raisons « extra-médicales » (d’ordre familial, ou à cause de l’attachement à l’emploi actuel) que le recourant ne disposerait</w:t>
      </w:r>
    </w:p>
    <w:p>
      <w:r>
        <w:t>- 16 - pas d’une pleine capacité de travail dans une activité adaptée. Or on ne saurait déduire que tel était l’avis du Dr E.________. On se trouve donc en présence d’un doute au sujet de l’évaluation de la capacité de travail du recourant dans une activité adaptée, doute que le dernier rapport du SMR n’a pas dissipé. Ce rapport a en effet été rédigé sans nouvel examen clinique et sans nouvelle analyse détaillée de la situation médicale par un spécialiste des problèmes de dos, environ quatre ans après l’examen du Dr G.________. En d’autres termes, il ne peut pas être d’emblée exclu qu’avec une atteinte à la santé durable depuis plusieurs années, une évolution se soit produite entraînant une diminution de la capacité de travail dans toute activité. Comme le dernier rapport du SMR laisse subsister un doute, il se justifie, conformément à la jurisprudence (ATF 135 V 465), de compléter l’instruction, par la mise en œuvre d’une expertise indépendante au sens de l’art. 44 LPGA. Il importe qu’un médecin spécialiste se prononce sur la capacité de travail actuelle vu les limitations fonctionnelles découlant de la pathologie du dos. Le recourant se plaint donc à bon droit d’une mauvaise appréciation de son état de santé et, implicitement, d’une violation des règles du droit fédéral sur l’appréciation des preuves médicales – ce qui a abouti à une constatation inexacte ou incomplète des faits pertinents (cf. art. 76 let. b LPA-VD, par renvoi de l’art. 99 LPA-VD). Le recours doit donc être admis dans cette mesure. d) Il incombe en premier lieu à l’OAI de mettre en œuvre les mesures d’instruction nécessaires. Il se justifie donc d’annuler la décision attaquée et de renvoyer l’affaire à l’OAI, pour nouvelle décision après instruction complémentaire, au sens du considérant ci-dessus. En l’état du dossier, il n’est donc pas possible de statuer définitivement sur le droit à une demi-rente, comme le demande le recourant. Les conclusions en réforme sont donc mal fondées.</w:t>
      </w:r>
    </w:p>
    <w:p>
      <w:r>
        <w:t>- 17 - 3. Il s’ensuit que le recours doit être partiellement admis, que la décision attaquée doit être annulée et que la cause doit être renvoyée à l’OAI pour nouvelle décision. Le présent arrêt doit être rendu sans frais. Le recourant, qui obtient gain de cause avec l’assistance d’un avocat travaillant pour une organisation d’aide aux personnes handicapées, a droit à des dépens,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