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ZD10.028597 vom 28. März 2012</w:t>
      </w:r>
    </w:p>
    <w:p>
      <w:r>
        <w:t>VD Tribunal cantonal, 2012-03-28, FR</w:t>
      </w:r>
    </w:p>
    <w:p>
      <w:r>
        <w:rPr>
          <w:b/>
        </w:rPr>
        <w:t xml:space="preserve">Quelle: </w:t>
      </w:r>
      <w:r>
        <w:t>https://mcp.opencaselaw.ch/entscheid/vd_gerichte_ZD10.028597</w:t>
      </w:r>
    </w:p>
    <w:p>
      <w:r>
        <w:t>FR: VD_GERICHTE ZD10.028597 du 28 mars 2012</w:t>
      </w:r>
    </w:p>
    <w:p>
      <w:r>
        <w:t>IT: VD_GERICHTE ZD10.028597 del 28 marzo 2012</w:t>
      </w:r>
    </w:p>
    <w:p>
      <w:pPr>
        <w:pStyle w:val="Heading2"/>
      </w:pPr>
      <w:r>
        <w:t>Erwägungen</w:t>
      </w:r>
    </w:p>
    <w:p>
      <w:r>
        <w:rPr>
          <w:b/>
        </w:rPr>
        <w:t>E. 1</w:t>
      </w:r>
    </w:p>
    <w:p>
      <w:r>
        <w:t>Interjeté le 6 septembre 2010, dans le délai légal de trente jours dès la notification de la décision entreprise, le recours est déposé en</w:t>
      </w:r>
    </w:p>
    <w:p>
      <w:r>
        <w:t>- 11 - temps utile compte tenu des féries (art. 60 al. 1 LPGA [loi fédérale du 6 octobre 2000 sur la partie générale du droit des assurances sociales; RS 830.1]). Il respecte en outre les autres exigences légales de recevabilité (art. 61 let. b LPGA). Il y a donc lieu d'entrer en matière.</w:t>
      </w:r>
    </w:p>
    <w:p>
      <w:r>
        <w:rPr>
          <w:b/>
        </w:rPr>
        <w:t>E. 2</w:t>
      </w:r>
    </w:p>
    <w:p>
      <w:r>
        <w:t>La recourante a conclu, dans le cadre de ses déterminations du 28 janvier 2011, à ce qu'une rente entière lui soit versée à titre provisionnel. Elle fait valoir que l'absence de versement d'une rente depuis la fin janvier 2011 (date de la fin des rapports de service) la prive de tout revenu. Les mesures provisionnelles doivent être prononcés, aux termes de l'art. 86 LPA-VD, que si elles apparaissent nécessaires à la conservation d'un état de fait ou de droit, ou à la sauvegarde d'intérêts menacés.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Or, en l'espèce, la question de savoir si l'assurée a droit au non à une rente entière d'invalidité relève indiscutablement du fond. Au demeurant, il n'appartient ni à la juridiction cantonale d'octroyer une rente dans le cadre de mesures provisionnelles, ni à l'Office AI d'allouer provisoirement à la recourante les moyens de subsistance nécessaires. Selon la jurisprudence, il faut tenir compte, dans la pesée des intérêts, de l'intérêt de l'assureur social, qui pourrait ne pas parvenir à obtenir la restitution de sommes versées à tort, au cas où le versement d'une rente aurait été ordonnée à titre de mesures provisionnelles avant un jugement confirmant le refus du droit aux prestations (ATF 119 V 507 consid. 4 et les références, 105 V 269 consid. 3). Quoiqu'il en soit, vu le présent arrêt, la requête de mesures provisionnelles est devenue sans objet. S'il avait été statué préalablement sur ce point, la requête aurait dû être rejetée.</w:t>
      </w:r>
    </w:p>
    <w:p>
      <w:r>
        <w:t>- 12 -</w:t>
      </w:r>
    </w:p>
    <w:p>
      <w:r>
        <w:rPr>
          <w:b/>
        </w:rPr>
        <w:t>E. 3</w:t>
      </w:r>
    </w:p>
    <w:p>
      <w:r>
        <w:t>Sur le fond, le litige porte sur le droit de la recourante à une rente (entière) d'invalidité, singulièrement sur l'existence d'une atteinte à la santé invalidante au sens de la loi.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w:t>
      </w:r>
    </w:p>
    <w:p>
      <w:r>
        <w:t>- 13 -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w:t>
      </w:r>
    </w:p>
    <w:p>
      <w:r>
        <w:t>- 14 -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4</w:t>
      </w:r>
    </w:p>
    <w:p>
      <w:r>
        <w:t>En l’espèce, il convient d'examiner si, à compter de la dernière décision entrée en force qui repose sur un examen matériel du droit à la rente, soit celle du 22 mars 2004, il y a eu un changement important des circonstances propres à influencer le degré d'invalidité. Cette décision comportant une motivation relativement sommaire, il est nécessaire de se référer au contenu des rapports médicaux pour déterminer si l'état de santé s'est, depuis lors, péjoré au point d'entraîner une perte de gain qui ouvrirait droit à une rente d'invalidité ou à des mesures d'ordre professionnel. a) Il n’est pas contesté que l'intéressée présente une atteinte au niveau des deux poignets depuis sa chute d'une fenêtre en 1994 (fracture) entraînant un syndrome douloureux intermittent. Le 8 décembre 1999, elle a été victime d'une chute dans les escaliers avec réception sur les deux poignets provoquant une contusion du poignet gauche (rapport médical du 14 février 2000 du Dr W.________). Le Dr Z.________ a évoqué des douleurs chroniques bilatérales exacerbées au moindre effort (rapport médical du 28 janvier 2002), élément corroboré par le Dr V.________ qui a exclu la reprise de l'activité habituelle de caissière en raison du port de charges lourdes et du mouvements répétitifs des deux poignets (rapport du 30 mai 2002). C'est sur la base des éléments médicaux précités que l'intimé a retenu que l'assurée était en mesure de travailler à 50 % dans</w:t>
      </w:r>
    </w:p>
    <w:p>
      <w:r>
        <w:t>- 15 - une activité adaptée, soit respectant les limitations fonctionnelles précitées. Finalement, l'intimé a considéré que sans atteinte à la santé, l'assurée ne travaillerait qu'à 50 % dans une activité adaptée, les 50 % restant étant consacrés à la tenue de son ménage, tout en concluant à une invalidité globale de 11.22 %, taux insuffisant pour ouvrir le droit à la rente. b) A l'appui de sa nouvelle demande de prestations, P.________ a indiqué qu'elle présentait une atteinte au niveau des os des poignets. Le dossier médical de l'assureur perte de gain a fait état d'un syndrome du tunnel carpien bilatéral nécessitant deux interventions, soit en février et août 2009 entraînant à chaque fois une incapacité de travail totale de six semaines attestée par la Dresse B.________. Au vu de ces éléments, le SMR a estimé que l'activité habituelle de collaboratrice en distribution de lettres n'était pas adaptée aux limitations fonctionnelles décrites (pas de travaux de force impliquant les poignets, ni de mouvements répétitifs des poignets), lesquelles étaient superposables à celles retenues en 2004. Dans ce contexte, il est probable que l'activité déployée à D.________ n'était pas adaptée aux limitations fonctionnelles précitées. Dans le cadre de son recours, P.________ n'a pas démontré par une argumentation précise et étayée, qu'il existerait au dossier une appréciation médicale objective mieux fondée que les éléments retenus par l'intimé qui justifierait la mise en œuvre d'une mesure d'instruction complémentaire. L'ensemble des praticiens consultés n'a ainsi jamais exclu la reprise de toute activité adaptée, le Dr S.________ préconisant une reconversion professionnelle (rapport du 4 février 2010), avis partagé par les Drs N.________ (rapport du 20 mai 2010) et Z.________ (rapport médical du 25 février 2010). Certes, le Dr Z.________ a, dans le cadre de la contestation de l'assurée, conclu à une incapacité totale de travail dans l'activité habituelle, ainsi que dans toute activité adaptée (rapport médical du 25 juin 2010). Toutefois, il y a lieu de constater que le Dr Z.________ a d'avantage fait état d'un handicap subjectif que de véritables limitations objectives. On ignore ainsi tout des examens qu'il a personnellement mis en oeuvre et du raisonnement qui lui a permis d'aboutir à cette</w:t>
      </w:r>
    </w:p>
    <w:p>
      <w:r>
        <w:t>- 16 - appréciation. Les mêmes conclusions s'imposent s'agissant de l'observation professionnelle au Centre U.________. En effet, les informations recueillies au cours du stage, soit en l'espèce l'abandon de la mesure en raison de douleurs, ne sauraient l'emporter sur l'absence d'éléments médicaux propres à justifier la reconnaissance d'un droit à une rente entière d'invalidité.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on ne voit pas comment la jurisprudence en matière de trouble somatoforme douloureux pourrait trouver application dans le cas de la recourante. Outre le fait que le diagnostic précité n'a pas été attesté par un rhumatologue comme le Dr N.________, le status psychiatrique est décrit de manière succincte par le Dr Z.________ (certificat médical du 15 avril 2011), lequel n'a pas précisé si sa patiente présentait une incapacité de travail pour ce motif, ni si elle bénéficiait d'une psychothérapie. Dès lors, l'appréciation des pièces médicales ne saurait être valablement mise en cause par la seule affirmation selon laquelle il existerait une aggravation dûment documentée. c) Dans ces conditions, force est de constater qu'il n'y aucune raison de s'écarter des avis médicaux des 16 février et 12 octobre 2010 du SMR, qui a résumé de manière convaincante l'évolution médicale des atteintes aux poignets de la recourante, ainsi que leur incidence sur sa capacité de travail. La décision attaquée échappe à la critique en tant qu'elle retient que la recourante conserve une capacité de travail</w:t>
      </w:r>
    </w:p>
    <w:p>
      <w:r>
        <w:t>- 17 - raisonnablement exigible de 100 % dans une activité adaptée à ses limitations fonctionnelles (cf. aussi, à ce propos, consid. 6 infra).</w:t>
      </w:r>
    </w:p>
    <w:p>
      <w:r>
        <w:rPr>
          <w:b/>
        </w:rPr>
        <w:t>E. 5</w:t>
      </w:r>
    </w:p>
    <w:p>
      <w:r>
        <w:t>Au regard de la capacité résiduelle de travail de la recourante dans une activité adaptée, l’intimé a considéré qu’elle présentait un taux d’invalidité inférieur à 20 %, ne justifiant pas l’octroi de mesures de reclassement dans une nouvelle profession. Vérifié d’office, le calcul du taux d’invalidité qu’il a effectué (16 %) ne prête pas flanc à la critique. Il n’y a pas lieu de revenir plus en détail sur ce calcul, dans la mesure où la recourante se limite à contester la capacité résiduelle de travail constatée par l’intimé, sans soulever de grief relatif au taux d’invalidité inférieur à 20 % finalement retenu.</w:t>
      </w:r>
    </w:p>
    <w:p>
      <w:r>
        <w:rPr>
          <w:b/>
        </w:rPr>
        <w:t>E. 6</w:t>
      </w:r>
    </w:p>
    <w:p>
      <w:r>
        <w:t>Enfin, la recourante estime qu'elle n'est pas en mesure de reprendre une activité professionnelle et qu'elle ne voit pas quelle activité de substitution elle pourrait assumer.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134 V 64 consid. 4.2.1; TF 9C_695/2010 du 15 mars 2011 consid. 5). b) In casu, il y a lieu de rappeler que compte tenu des limitations fonctionnelles décrites par les médecins, le nouveau poste de travail</w:t>
      </w:r>
    </w:p>
    <w:p>
      <w:r>
        <w:t>- 18 -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de la recourante. A ce sujet, comme le soulève la recourante, on peut éventuellement regretter que l'office AI n'ait mentionné aucune activité exigible au cours de l'instruction. Toutefois, dans des activités non qualifiées telles que celles recensées par l'Office fédéral de la statistique, il existe un large éventail d'activités variées qui ne requièrent ni force particulière, ni mouvements répétitifs des poignets. Il suffit à cet égard de se référer à des travaux en partie mécanisés ou automatisés dans le secteur industriel, voire à des activités relativement nombreuses de surveillance. A cet effet, une aide au placement a été accordée afin que l'assurée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La Cour de céans ne saurait en effet fonder son jugement sur le travail que l'intéressée s'estime capable de fournir, mais bien sur celui qui est objectivement compatible avec son état de santé, tels qu'il ressort des certificats médicaux ayant valeur probante.</w:t>
      </w:r>
    </w:p>
    <w:p>
      <w:r>
        <w:rPr>
          <w:b/>
        </w:rPr>
        <w:t>E. 7</w:t>
      </w:r>
    </w:p>
    <w:p>
      <w:r>
        <w:t>a) Au vu de ce qui précède, il apparaît que la recourante présente une capacité de travail entière dans le cadre d'une activité adaptée respectant les limitations fonctionnelles retenues par le SMR, de sorte qu'il n'existe aucun motif justifiant de procéder à une révision du droit à la rente. Dès lors, mal fondé, le recours doit être rejeté et la décision attaquée confirmée, sans qu'il y ait lieu de procéder aux mesures d'instruction complémentaire requises par la recourante.</w:t>
      </w:r>
    </w:p>
    <w:p>
      <w:r>
        <w:t>- 19 -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d) La recourante a obtenu, au titre de l'assistance judiciaire, la commission d'office d'un avocat en la personne de Me Robert Lei Ravello à compter du 6 septembre 2010 jusqu'au terme de la présente procédure (art. 118 al. 1 let. c CPC par renvoi de l'art. 18 al. 5 LPA-VD). Celui-ci a produit la liste de ses opérations, laquelle a été contrôlée au regard de la procédure. Me Robert Lei Ravello a ainsi droit à une indemnité d'honoraire de 1'609 fr. 65 (8.28 X 180) montant auquel il convient d'ajouter la TVA par 119 fr. 25 et à des débours par 108 fr. (dont 8 fr. de TVA). L'indemnité globale doit ainsi être fixée à 1'717 fr. 65, débours et TVA compris. La rémunération de l'avocat d'office est provisoirement supportée par le canton, le recourant étant rendu attentif au fait qu'il est tenu d’en rembourser le montant dès qu’il sera en mesure de le faire (art.</w:t>
      </w:r>
    </w:p>
    <w:p>
      <w:r>
        <w:t>- 20 - 123 al. 1 CPC par renvoi de l’art. 18 al. 5 CPC). Il incombe au Service juridique et législatif de fixer les modalités de ce remboursement (art. 5 RAJ) en tenant compte des montants payés à titre de contribution mensuelle depuis le début de la procédure.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