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ZD10.028596 vom 25. August 2011</w:t>
      </w:r>
    </w:p>
    <w:p>
      <w:r>
        <w:t>VD Tribunal cantonal, 2011-08-25, FR</w:t>
      </w:r>
    </w:p>
    <w:p>
      <w:r>
        <w:rPr>
          <w:b/>
        </w:rPr>
        <w:t xml:space="preserve">Quelle: </w:t>
      </w:r>
      <w:r>
        <w:t>https://mcp.opencaselaw.ch/entscheid/vd_gerichte_ZD10.028596</w:t>
      </w:r>
    </w:p>
    <w:p>
      <w:r>
        <w:t>FR: VD_GERICHTE ZD10.028596 du 25 août 2011</w:t>
      </w:r>
    </w:p>
    <w:p>
      <w:r>
        <w:t>IT: VD_GERICHTE ZD10.028596 del 25 agosto 2011</w:t>
      </w:r>
    </w:p>
    <w:p>
      <w:pPr>
        <w:pStyle w:val="Heading2"/>
      </w:pPr>
      <w:r>
        <w:t>Erwägungen</w:t>
      </w:r>
    </w:p>
    <w:p>
      <w:r>
        <w:rPr>
          <w:b/>
        </w:rPr>
        <w:t>E. 1</w:t>
      </w:r>
    </w:p>
    <w:p>
      <w:r>
        <w:t>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dite loi ne déroge expressément à la LPGA. L'art. 56 LPGA dispose que les décisions sur opposition et celles contres lesquelles la voie de l'opposition n'est pas ouverte sont sujette à recours. Aux termes de l'art. 69 al. 1 let. a LAI, les décisions des Offices AI peuvent directement faire l'objet d'un recours devant le tribunal des assurances du domicile de l'Office concerné. Formé dans le délai légal de trente jours dès la notification de la décision entreprise, le recours est déposé en temps utile (art. 60 al. 1 LPGA). Il est de surcroît recevable en la forme (art. 61 let. b LPGA).</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w:t>
      </w:r>
    </w:p>
    <w:p>
      <w:r>
        <w:t>- 9 - ensemble, mais se borne à examiner les aspects de cette décision que le recourant a critiqués, exception faite lorsque les points non critiqués ont des liens étroits avec la question litigieuse (cf. ATF 125 V 413 c. 2c; ATF 110 V 48 c. 4a). En l'espèce, le principe du droit à une rente d'invalidité est acquis. Est seul litigieux le point de savoir si le taux d'invalidité qui doit être pris en charge ouvre le droit à plus d'une demi-rente.</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exigible peut également relever d'une autre profession ou d'un autre domaine d'activité.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L'invalidité est donc une notion juridique fondée sur des éléments d'ordre essentiellement économique et ne se confond pas nécessairement avec le taux de l'incapacité fonctionnelle, tel que le détermine le médecin puisque ce sont les conséquences économiques de l'incapacité fonctionnelle qu'il importe</w:t>
      </w:r>
    </w:p>
    <w:p>
      <w:r>
        <w:t>- 10 - d'évaluer (ATF 110 V 275 et 105 V 205). L'assuré a droit à un quart de rente s'il est invalide à 40% au moins, à une demi-rente s'il est invalide à 50% au moins, à trois quarts de rente s'il est invalide à 60% au moins et à une rente entière s'il est invalide à 70% au moins (art. 28 al. 2 LAI en vigueur depuis le 1er janvier 2008 [5e révision de l'AI, RO 2007 p. 5129 ss]).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Pratique VSI 2/2002 p. 64 consid. 4b/cc; TF I 562/2006 du 25 juillet 2007, consid. 2.1; TFA I 274/2005 du 21 mars 2006, consid. 1.2).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8C_861/2009 du 20 avril 2010, consid. 3.1 et 9C_813/2009 du 11 décembre 2009, consid. 2.1). Ce dernier constat a récemment été précisé par le Tribunal fédéral,</w:t>
      </w:r>
    </w:p>
    <w:p>
      <w:r>
        <w:t>- 11 -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(TF 8C_420/2010 du 27 octobre 2010, consid. 4.3 et 8C_65/2010 du 6 septembre 2010, consid. 3.1). L'administration et les tribunaux devant pouvoir se reposer sur les connaissances spécialisées de l'expert, cela suppose des connaissances correspondantes bien établies de la part de l'auteur du rapport médical ou à tout le moins du médecin qui le vise (TF 8C_65/2010 du 6 septembre 2010, consid. 3.1 et 9C_53/2009 du 29 mai 2009, consid. 4.2 et les arrêts cités). En matière d'assurances sociales, la jurisprudence attache une présomption d'objectivité aux constatations émanant de médecins spécialistes internes à un assureur. Le Tribunal fédéral a précisé que dans la procédure d'octroi ou de refus de prestations d'assurances sociales et en tenant compte de la jurisprudence récente de la Cour européenne des droits de l'homme développée en relation avec l'art. 6 par. 1 CEDH (Convention du 4 novembre 1950 de sauvegarde des droits de l'homme et des libertés fondamentales, RS 0.101), disposition traitant du "droit à un procès équitable", il n'existe pas de droit formel de l'assuré à une expertise menée par un médecin externe à l'assurance (ATF 135 V 465 consid. 4). Le recours aux services d'un expert indépendant au sens de l'art. 44 LPGA, soit le droit à obtenir la mise en œuvre d'une expertise médicale, s'impose uniquement dans les cas où des doutes, même faibles, subsistent quant à la fiabilité et à la pertinence des constatations médicales effectuées par le(s) médecin(s) spécialiste(s) interne(s) de l'assureur (ATF 135 V 465 consid. 4.6). Même si les avis des médecins spécialisés des assureurs n'ont pas exactement la même valeur probante qu'une expertise au sens de l'art. 44 LPGA, il n'en demeure pas moins que de tels avis doivent être pris en considération tant qu'il n'existe pas de légers doutes quant à l'exactitude de leurs conclusions (ATF 135 V 465</w:t>
      </w:r>
    </w:p>
    <w:p>
      <w:r>
        <w:t>- 12 - consid. 4.7). Partant, dans la mesure où il remplit les exigences requises, un rapport d'examen médical d'un service médical régional de l'AI au sens de l'art. 69 al. 4 RAI (règlement du 17 janvier 1961 sur l'assurance- invalidité, RS 831.201) a pleine valeur probante alors que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9C_243/2010 du 28 juin 2011 consid. 1.3 [arrêt destiné à la publication], 8C_15/2009 du 11 janvier 2010, consid. 3.2 et 9C_91/2008 du 30 septembre 2008). Le recourant requiert l'audition par la cour de céans des médecins qui l'ont suivi, des responsables des EPI et des ORIF. Il n'expose toutefois nulle part sur quels points précis il entend interroger ces divers intervenants, ni ne montre en quoi ces auditions pourraient être utiles pour compléter le dossier. Du reste, les Drs M.________, V.________ et P.________ admettent tous l'impossibilité pour le recourant d'exercer le métier de maçon (ou un autre travail de force) en raison de sa lombosciatique gauche irritative. La question de savoir si l'on peut exiger du recourant qu'il exerce une activité adaptée à temps partiel doit être examinée au regard des observations des EPI et des ORIF, qui n'ont pas été faites par des médecins capables d'apprécier une situation sur le plan médical, ainsi que de l'examen clinique rhumatologique établi par le Dr H.________ du SMR. Au vu de ce qui précède, la situation médicale du recourant, tant sur le plan physique que psychique, est clairement établie, de telle sorte qu'on renoncera à entreprendre d'autres mesures d'instruction (ATF 130 II 425 consid. 2.1). Il n'y a pas davantage lieu d'entendre les responsables EPI et ORIF, qui ont déposé des rapports relatant leurs</w:t>
      </w:r>
    </w:p>
    <w:p>
      <w:r>
        <w:t>- 13 - observations. Ceux-ci ne sont du reste pas des médecins et ne sont en principe pas à même d'apprécier une situation sur le plan médical. Le recourant semble voir une divergence sensible entre l'avis des organes d'observation professionnelles et celui des médecins. Il se réfère à l'arrêt TF 9C_1035/2009 du 22 juin 2010 qui précise que, dans les cas où ces appréciations divergent sensiblement, il incombe à l'administration, respectivement au juge, de confronter les deux évaluations et, au besoin, de requérir un complément d'instruction (consid. 4.1 avec références). Or, les avis des centres ORIF sont assez sommaires et ne comprennent pas d'avis précis du médecin-conseil. On ne voit pas de divergence sensible entre la description du rythme de travail par l'ORIF et l'appréciation de la capacité de travail par le SMR. Le rapport établi par le Dr H.________ du SMR contient tous les éléments exigés par la jurisprudence pour admettre une pleine valeur probante. Il en découle que la requête d'expertise pluridisciplinaire doit être rejetée. Le recourant met certes en cause l'impartialité du médecin SMR en se fondant sur l'ATF 135 V 465 (cf. supra). Toutefois, la comparaison avec les autres rapports médicaux au dossier ne laisse pas subsister de doutes, même légers, quand aux conclusions de l'examen clinique rhumatologique, si bien que la jurisprudence citée par le recourant ne lui est d'aucun secours. Dans ses déterminations du 20 janvier 2011, le recourant affirme que le rapport SMR contient des contradictions, notamment de dates, mais il n'expose pas sur quels points décisifs il serait contradictoire et donc non probants. Le grief tiré de la constatation faite par l'intimé au sujet du changement de comportement pendant la procédure de réinsertion (ch. 21 du mémoire) est dépourvu de pertinence. En ce qui concerne les certificats médicaux établis les 16 juin et 30 juin 2010 par le Dr V.________, médecin traitant, qui ne comportent aucune motivation, ils doivent être appréciés par rapport au contenu de l'examen détaillé qui a été fait par le Dr H.________.</w:t>
      </w:r>
    </w:p>
    <w:p>
      <w:r>
        <w:t>- 14 - Enfin, pour une homme encore jeune, avec une bonne expérience professionnelle (chef d'équipe efficace), un travail à temps partiel dans une activité industrielle légère n'est pas un emploi qui n'existe pas ou presque pas sur le marché. L'intimé donne des exemples concrets de métiers, tels que montage, contrôle ou surveillance d'un processus de production, ouvrier à l'établi dans des activités simples ou légères, ouvrier dans le conditionnement. Dès lors, la décision attaquée, qui n'est pas attaquée sur d'autres points, échappe à la critique.</w:t>
      </w:r>
    </w:p>
    <w:p>
      <w:r>
        <w:rPr>
          <w:b/>
        </w:rPr>
        <w:t>E. 4</w:t>
      </w:r>
    </w:p>
    <w:p>
      <w:r>
        <w:t>Le recourant demande son audition par les juges du Tribunal cantonal afin de pouvoir exposer l'ampleur de l'atteinte à la santé, les efforts consentis et sa situation actuelle et la possibilité d'être entendu personnellement (mémoire, partie III, let. b et g). En l'espèce, l'audition du recourant pour "exposer l'ampleur de l'atteinte à sa santé, les efforts consentis et sa situation actuelle" n'apporterait pas d'élément décisif dans un domaine dominé par les observations antérieures des intervenants dans le domaine du reclassement professionnel, d'une part, et dans celui de l'évaluation médicale, d'autre part. Il n'y a dès lors pas lieu d'ordonner la tenue d'une audience devant la cour de céans. Au surplus, le recourant ne s'est pas prévalu de la garantie de l'audience publique selon l'art. 6 CEDH et a donc implicitement renoncé à cette garantie d'ordre formel.</w:t>
      </w:r>
    </w:p>
    <w:p>
      <w:r>
        <w:rPr>
          <w:b/>
        </w:rPr>
        <w:t>E. 5</w:t>
      </w:r>
    </w:p>
    <w:p>
      <w:r>
        <w:t>En définitive, le recours doit donc être rejeté, ce qui entraîne la confirmation de la décision attaquée. La procédure est onéreuse; en principe la partie dont les conclusions sont rejetées supporte les frais de procédure (art. 69 al. 1bis LAI et 49 al. 1 LPA-VD, applicable par renvoi des art. 91 et 99 LPA-VD). Le</w:t>
      </w:r>
    </w:p>
    <w:p>
      <w:r>
        <w:t>- 15 - recourant a toutefois été mis au bénéfice de l'assistance judiciaire, de sorte que les frais judiciaires, ainsi qu'une équitable indemnité au conseil juridique désigné d'office pour la procédure, sont supportés par le canton, provisoirement (art. 122 al. 1 let. a et b CPC [Code de procédure civile du 19.12.2008, RS 272], applicable par renvoi de l'art. 18 al. 5 LPA-VD). En effet, la partie qui a obtenu l'assistance judicaire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En l'espèce, compte tenu de l'ampleur de la procédure, les frais de justice doivent être arrêtés à 400 fr. et mis provisoirement à la charge du canton vu que le recourant, au bénéfice de l'assistance judiciaire, succombe. Désigné le 12 novembre 2010, décision annulée et remplacée par décision du 25 novembre 2010, par le Bureau de l'assistance judiciaire pour être conseil d'office dans la présente procédure de recours, Me Jean- Michel Duc a déposé le 9 juin 2011 sa liste détaillée d'opérations et débours entre le 23 février 2010 et le 2 novembre 2010. La décision du 25 novembre 2010 a toutefois accordé l'assistance judiciaire avec effet dès le</w:t>
      </w:r>
    </w:p>
    <w:p>
      <w:r>
        <w:rPr>
          <w:b/>
        </w:rPr>
        <w:t>E. 6</w:t>
      </w:r>
    </w:p>
    <w:p>
      <w:r>
        <w:t>septembre 2010, si bien que seules les opérations depuis cette date incluse peuvent être prises en compte. Compte tenu de l'ensemble des opérations durant la procédure de recours, il convient d'arrondir l'indemnité du conseil d'office à 500 fr., débours et TVA compris. Vu le rejet du recours, il n'y a pas lieu d'allouer des dépens (art. 61 let. g a contrario LPGA). Par ces motifs,</w:t>
      </w:r>
    </w:p>
    <w:p>
      <w:r>
        <w:t>- 16 - la Cour des assurances sociales p r o n o n c e : I. Le recours est rejeté. II. La décision rendue le 7 juillet 2010 par l'Office de l'assurance- invalidité pour le canton de Vaud est confirmée. III. Les frais judiciaires, arrêtés à 400 fr. (quatre cents francs), sont supportés par le canton. IV. L'indemnité d'office de Me Jean-Michel Duc, conseil du recourant R.________, est arrêtée à 500 fr. (cinq cents francs). V. Le bénéficiaire de l'assistance judiciaire est, dans la mesure de l'art. 123 CPC applicable par renvoi de l'art. 18 al. 5 LPA-VD, tenu au remboursement des frais judiciaires et de l'indemnité du conseil d'office mis à la charge de l'Etat. VI. Il n'est pas alloué de dépens. Le président : Le greffier : Du L'arrêt qui précède, dont la rédaction a été approuvée à huis clos, est notifié à : - Me Jean-Michel Duc (pour R.________), - Office de l'assurance-invalidité pour le canton de Vaud, à Vevey, - Office fédéral des assurancees sociales, à Berne,</w:t>
      </w:r>
    </w:p>
    <w:p>
      <w:r>
        <w:t>- 17 - par l'envoi de photocopies. L'arrêt est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