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ZD10.020574 vom 1. Dezember 2011</w:t>
      </w:r>
    </w:p>
    <w:p>
      <w:r>
        <w:t>VD Tribunal cantonal, 2011-12-01, FR</w:t>
      </w:r>
    </w:p>
    <w:p>
      <w:r>
        <w:rPr>
          <w:b/>
        </w:rPr>
        <w:t xml:space="preserve">Quelle: </w:t>
      </w:r>
      <w:r>
        <w:t>https://mcp.opencaselaw.ch/entscheid/vd_gerichte_ZD10.020574</w:t>
      </w:r>
    </w:p>
    <w:p>
      <w:r>
        <w:t>FR: VD_GERICHTE ZD10.020574 du 1 décembre 2011</w:t>
      </w:r>
    </w:p>
    <w:p>
      <w:r>
        <w:t>IT: VD_GERICHTE ZD10.020574 del 1 dicembre 2011</w:t>
      </w:r>
    </w:p>
    <w:p>
      <w:pPr>
        <w:pStyle w:val="Heading2"/>
      </w:pPr>
      <w:r>
        <w:t>Erwägungen</w:t>
      </w:r>
    </w:p>
    <w:p>
      <w:r>
        <w:rPr>
          <w:b/>
        </w:rPr>
        <w:t>E. 1</w:t>
      </w:r>
    </w:p>
    <w:p>
      <w:r>
        <w:t>a) Interjeté le 25 juin 2010, dans le délai légal de trente jours dès la notification de la décision entreprise, le recours est déposé en temps utile (art. 60 al. 1 LPGA [loi fédérale du 6 octobre 2000 sur la partie générale du droit des assurances sociales; RS 830.1]).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w:t>
      </w:r>
    </w:p>
    <w:p>
      <w:r>
        <w:rPr>
          <w:b/>
        </w:rPr>
        <w:t>E. 2</w:t>
      </w:r>
    </w:p>
    <w:p>
      <w:r>
        <w:t>La recourante se plaint du refus d'une rente d'invalidité à laquelle elle prétend avoir droit en vertu de la législation fédérale.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w:t>
      </w:r>
    </w:p>
    <w:p>
      <w:r>
        <w:t>- 8 -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w:t>
      </w:r>
    </w:p>
    <w:p>
      <w:r>
        <w:t>- 9 - s'agissant de l'appréciation émise par un psychiatre traitant (TF I 50/06 du 17 janvier 2007 consid. 9.4).</w:t>
      </w:r>
    </w:p>
    <w:p>
      <w:r>
        <w:rPr>
          <w:b/>
        </w:rPr>
        <w:t>E. 3</w:t>
      </w:r>
    </w:p>
    <w:p>
      <w:r>
        <w:t>a) Tant lors de l'examen initial du droit à la rente qu'à l'occasion d'une révision de celle-ci, il faut examiner quelle méthode d'évaluation de l'invalidité il convient d'appliquer. Le choix de l'une des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396 consid. 3.3, 125 V consid. 2c, 117 V 194 consid. 3b et les références; TF I 85/07 du 14 avril 2008 consid. 3.2). Selon la jurisprudence, la réponse apportée à la question de savoir à quel taux d'activité la personne assurée travaillerait sans atteinte à la santé dépend de l'ensemble des circonstances personnelles,</w:t>
      </w:r>
    </w:p>
    <w:p>
      <w:r>
        <w:t>- 10 - familiales, sociales, financières et professionnelles (ATF 130 V 393 consid.</w:t>
      </w:r>
    </w:p>
    <w:p>
      <w:r>
        <w:rPr>
          <w:b/>
        </w:rPr>
        <w:t>E. 3.3</w:t>
      </w:r>
    </w:p>
    <w:p>
      <w:r>
        <w:t>p. 396 et les arrêts cités). Cette évaluation doit également prendre en considération la volonté hypothétique de l'assurée qui en tant que fait interne ne peut faire l'objet d'une administration directe de la preuve et doit en règle générale être déduite d'indices extérieurs (TF I 693/06 du 20 décembre 2006, consid. 4.1). b) Il convient en l'occurrence de constater que le statut de l'assurée n'a pas réellement été tranché par l'enquêtrice dans le cadre de l'enquête économique sur le ménage du 4 mars 2011, cette dernière utilisant le conditionnel dans le cadre de ses conclusions et procédant dans le même temps à l'évaluation des empêchements de l'assurée dans l'activité ménagère. En tout état de cause, il convient de constater que les difficultés financières dont a fait état l'assurée dans le cadre de l'enquête économique sur le ménage, n'ont été que provisoires, puisque les époux ont à nouveau perçu les prestations complémentaires en novembre 2009. On ignore toutefois si elles ont été versées de manière rétroactive depuis le mois de janvier 2009. C'est dans ce contexte que l'enquêtrice a estimé que malgré le versement des prestations complémentaires, la situation financière du couple était difficile à gérer, raison pour laquelle "le statut pourrait être 100 % active". Il y a dès lors lieu de considérer que la situation économique ou financière du couple n'a pas subi de changement durable. c) L'ensemble des circonstances précitées ne permet dès lors pas d'admettre, au degré de la vraisemblance prépondérante usuel en droit des assurances sociales que, sans invalidité, la recourante aurait exercé une activité professionnelle à temps complet, ce d'autant moins qu'elle n'a jamais travaillé auparavant, même avant la naissance de son premier enfant en 1984, alors qu'elle était mariée depuis 1981. C'est dès lors à juste titre que l'intimé a considéré l’assurée comme ménagère à 100 %, point qui n'est pas véritablement contesté par celle-ci dans son recours.</w:t>
      </w:r>
    </w:p>
    <w:p>
      <w:r>
        <w:t>- 11 -</w:t>
      </w:r>
    </w:p>
    <w:p>
      <w:r>
        <w:rPr>
          <w:b/>
        </w:rPr>
        <w:t>E. 4</w:t>
      </w:r>
    </w:p>
    <w:p>
      <w:r>
        <w:t>a) On examinera ici à titre subsidiaire la capacité de travail dans une activité professionnelle. La recourante conteste implicitement à cet égard, la valeur du rapport du 10 juillet 2009 du Dr T.________, sans toutefois se prononcer sur le contenu dudit rapport. Il est douteux qu’un tel reproche, qui n'est assorti d’aucune explication, constitue une argumentation suffisamment précise pour démontrer dans quelle mesure le rapport précité ne présente pas la valeur probante que l’intimé lui a conférée. Quoiqu’il en soit, il ne peut être fait aucun grief à cette évaluation dans la mesure où le Dr T.________ a abouti à des conclusions motivées, relatives à la capacité de travail de la recourante et aux limitations fonctionnelles pouvant interférer avec une activité ménagère ou une activité professionnelle, au terme d'un examen clinique détaillé, ainsi que d'une étude approfondie de l'anamnèse et des différents documents médicaux et radiologiques récoltés avant l'établissement de son rapport. Il n’est ainsi pas contesté que l’intéressée présente une pathologie ostéoarticulaire sous la forme de rachialgies diffuses avec lombosciatalgies gauches dans le cadre de discrets troubles statiques du rachis, ainsi que de troubles dégénératifs du rachis avec kyste de Tarlov et de syndrome rotulien bilatéral. Ces atteintes à la santé entraînent des limitations fonctionnelles qui concernent uniquement le rachis lombaire et les genoux (nécessité de pouvoir alterner 2 x par heure la position assise et la position debout, limitation au niveau du port de charge, pas de travail en porte-à-faux statique prolongé du tronc, pas d’exposition à des vibrations, pas de génuflexions répétées, pas de franchissement régulier d’escabeaux, échelles ou escaliers), mais n'ont pas de répercussion sur la capacité de travail dans une activité adaptée. Le Dr T.________ a en outre retenu une incapacité de travail de 20 % dans l’activité ménagère, les limitations précitées étant pour la plupart respectées dans l’exercice d’une telle activité. On notera enfin que si les Drs S.________ (rapport médical du 16 avril 2009) et E.________ (rapport médical du 31 octobre 2008) ont mis en évidence une atteinte lombaire, ils n’ont pas retenu de diagnostic précis, ni motivé une quelconque incapacité de travail.</w:t>
      </w:r>
    </w:p>
    <w:p>
      <w:r>
        <w:t>- 12 - b) En tout état de cause,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ce qui n’est pas le cas en l’espèce. En effet, le Dr T.________ a exclu, sur la base de l'examen rhumatologique pratiqué, le diagnostic de fibromyalgie, seuls</w:t>
      </w:r>
    </w:p>
    <w:p>
      <w:r>
        <w:rPr>
          <w:b/>
        </w:rPr>
        <w:t>E. 4.2</w:t>
      </w:r>
    </w:p>
    <w:p>
      <w:r>
        <w:t>p. 509 et les références). 6. a) Par conséquent, au regard de la jurisprudence exposée ci- dessus, les critiques développées par la recourante à l'appui de son recours ne lui permettent pas d'établir une violation du droit fédéral. Le dossier s'avère ainsi complet pour statuer sur la demande de rente, de sorte que le complément d'instruction (audition de témoins, expertise médicale et enquête économique sur le ménage) que sollicite la recourante est superflu et ne sera pas ordonné.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250 fr. et être mis à la charge de recourante, qui succombe (art. 49 LPA-VD). Il n'y a pas lieu d'allouer de dépens, la recourante n'obtenant pas gain de cause (art. 61 let. g LPGA et 55 LPA-VD).</w:t>
      </w:r>
    </w:p>
    <w:p>
      <w:r>
        <w:rPr>
          <w:b/>
        </w:rPr>
        <w:t>E. 8</w:t>
      </w:r>
    </w:p>
    <w:p>
      <w:r>
        <w:t>des 18 points diagnostics étant retrouvés. Finalement, l’expert a retenu un syndrome douloureux diffus de l’hémicorps gauche sans substrat organique, précisant toutefois que ce diagnostic n’avait aucune influence sur la capacité de travail de l’assurée. c) En définitive, la décision attaquée échappe à la critique en tant qu'elle retient que la recourante conserve une capacité de travail raisonnablement exigible de 100 % dans une activité adaptée à ses limitations fonctionnelles somatiques et de 80 % dans l’activité ménagère. 5. La recourante conteste enfin la pondération de quatre champs relative à certaines tâches ménagères (6.2 à 6.5) retenue dans l'enquête économique, ainsi que l'appréciation de son incapacité d'effectuer l'ensemble des activités. Elle s'étonne du fait que le taux d'empêchement retenu (27.3 %) soit si bas, l'évaluation ne tenant pas suffisamment compte, selon elle, de l'aide importante apportée par sa belle-fille. a) L'incapacité de travail et l'incapacité d'accomplir ses travaux habituels sont deux notions qui, même si elles se recoupent en partie, doivent être différenciées. Aux termes de l'art. 6 LPGA, l'incapacité de</w:t>
      </w:r>
    </w:p>
    <w:p>
      <w:r>
        <w:t>- 13 -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En revanche, l'incapacité d'accomplir les travaux habituels (art. 28 al. 2bis LAI en corrélation avec les art. 27 RAI et 8 al. 3 LPGA) s'évalue différemment. Elle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établie (CIIAI), p. 65, no 3084 ss). Une enquête ménagère effectuée au domicile de la personne assurée, conformément aux directives de l'OFAS constitue en règle générale une base appropriée et suffisante pour évaluer les empêchements dans l'accomplissement des travaux habituels. La fixation de l'invalidité dans les travaux habituels, lequel est déterminé au regard des circonstances concrètes du cas d'espèce. C'est pourquoi il n'existe pas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1er mai 2006 consid. 6.2 et les références citées). b)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(TF 9C_406/2008 du</w:t>
      </w:r>
    </w:p>
    <w:p>
      <w:r>
        <w:t>- 14 - 22 juillet 2008 consid. 4.2; I 733/06 du 16 juillet 2007 consid. 4.2.1).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 In casu, il y a lieu de considérer que l'argumentation de la recourante ne permet en aucun cas d'admettre que le taux global d'invalidité ménagère retenu par l'intimé aurait dû être plus élevé. Sur le plan strictement fonctionnel, les limitations décrites par le Dr T.________ peuvent de prime abord sembler importantes, mais elles représentent en fait les mesures classiques d'épargne en vue d'éviter les douleurs provoquées par les pathologies susmentionnées, les limitations précitées étant pour la plupart respectées dans l’exercice d’une telle activité (rapport du 10 juillet 2009, p.5). Compte tenu d’une incapacité de travail de 20 % mise en évidence par le Dr T.________ dans l’activité ménagère, on ne saurait tenir pour établi, au degré de la vraisemblance prépondérante, que les atteintes au rachis et aux genoux présentées par la recourante sont d'une intensité telle qu'elles entraînent, globalement, une incapacité de travail - et de gain - de 40 % ou plus, ouvrant droit à une rente. Au contraire, la nature des atteintes dont souffre la recourante ne permet pas d’expliquer objectivement la différence entre le taux d'incapacité de travail médicalement établi (20 %) et le taux global d'invalidité ménagère (27.3 %), qui ressort du rapport d'enquête économique sur le ménage du 9 mars 2010 et qui s’avère dès lors favorable à l’assurée. Si la douleur, voire la fatigue peuvent induire chez l’assurée un certain ralentissement, celles-ci peuvent être compensées par une meilleure répartition des tâches au cours de la journée et de la semaine. Contrairement à ce que soutient la recourante, une telle façon de voir les choses est conforme en tous points à la jurisprudence. Ainsi, au titre de son obligation de réduire le dommage, la personne assurée est notamment tenue d'adopter une méthode de travail appropriée, de répartir son travail en fonction de ses aptitudes et de ses disponibilités et</w:t>
      </w:r>
    </w:p>
    <w:p>
      <w:r>
        <w:t>- 15 - de demander, dans la mesure du raisonnable, l'aide de ses proches (TF 9C_328/2009 du 8 septembre 2009, consid. 3.3.2, ATF 133 V 504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