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ZD10.020565 vom 27. August 2012</w:t>
      </w:r>
    </w:p>
    <w:p>
      <w:r>
        <w:t>VD Tribunal cantonal, 2012-08-27, FR</w:t>
      </w:r>
    </w:p>
    <w:p>
      <w:r>
        <w:rPr>
          <w:b/>
        </w:rPr>
        <w:t xml:space="preserve">Quelle: </w:t>
      </w:r>
      <w:r>
        <w:t>https://mcp.opencaselaw.ch/entscheid/vd_gerichte_ZD10.020565</w:t>
      </w:r>
    </w:p>
    <w:p>
      <w:r>
        <w:t>FR: VD_GERICHTE ZD10.020565 du 27 août 2012</w:t>
      </w:r>
    </w:p>
    <w:p>
      <w:r>
        <w:t>IT: VD_GERICHTE ZD10.020565 del 27 agosto 2012</w:t>
      </w:r>
    </w:p>
    <w:p>
      <w:pPr>
        <w:pStyle w:val="Heading2"/>
      </w:pPr>
      <w:r>
        <w:t>Erwägungen</w:t>
      </w:r>
    </w:p>
    <w:p>
      <w:r>
        <w:rPr>
          <w:b/>
        </w:rPr>
        <w:t>E. 7</w:t>
      </w:r>
    </w:p>
    <w:p>
      <w:r>
        <w:t>Sur le plan économique, le recourant a une capacité de travail complète dans son activité habituelle. L’OAI a en outre effectué une comparaison des revenus entre le salaire sans invalidité qui aurait été celui du recourant en 2006 et le revenu qu’il pourrait obtenir calculé sur la base de I’ESS. Le recourant n’a pas critiqué ce calcul à juste titre. En effet, vérifié d’office, son résultat ne prête pas le flanc à la critique.</w:t>
      </w:r>
    </w:p>
    <w:p>
      <w:r>
        <w:rPr>
          <w:b/>
        </w:rPr>
        <w:t>E. 8</w:t>
      </w:r>
    </w:p>
    <w:p>
      <w:r>
        <w:t>Selon la jurisprudence,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 TF 9C_288/2010 arrêt du 22 décembre 2010 et références citées).</w:t>
      </w:r>
    </w:p>
    <w:p>
      <w:r>
        <w:t>- 27 - En l’espèce, la décision rendue le 17 juin 2008 par l’OAI supprimait la rente dès le 1er août 2008. Celle décision retirait l’effet suspensif à un éventuel recours. L’état de santé du recourant s’est amélioré dès octobre 2006, celui-ci ne subissant plus d’invalidité à celle date. Le changement notable de circonstances influençant le droit aux prestations au sens de l’art. 17 al. 1 LPGA est ainsi intervenu durant la procédure initiale d’instruction. C’est dès lors à juste titre que l’OAI, dans la décision du 20 mai 2010, a supprimé la rente dès le 1er août 2008. Par conséquent, conforme au droit, la décision attaquée doit être confirmée, ce qui conduit au rejet du recours.</w:t>
      </w:r>
    </w:p>
    <w:p>
      <w:r>
        <w:rPr>
          <w:b/>
        </w:rPr>
        <w:t>E. 9</w:t>
      </w:r>
    </w:p>
    <w:p>
      <w:r>
        <w:t>Il reste à statuer sur les frais et dépens (art. 91 LPA-VD, applicable par renvoi de l’art. 99 LPA-VD). En dérogation à l’art. 61 let. a LPGA, la procédure de recours en matière de contestations portant sur l’octroi ou le refus de prestations de l’assurance- 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 charge liée à la procédure, les frais de justice doivent être arrêtés à 400 fr. et mis à la charge du recourant, qui succombe (art. 69 al. 1bis LAI; art. 49 al. 1 et 50 LPA-VD). Il n’y a pas lieu d’allouer de dépens, le recourant n’obtenant pas gain de cause (art. 55 al. 1 et 56 al. 3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