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ZD10.019275 vom 1. November 2012</w:t>
      </w:r>
    </w:p>
    <w:p>
      <w:r>
        <w:t>VD Tribunal cantonal, 2012-11-01, FR</w:t>
      </w:r>
    </w:p>
    <w:p>
      <w:r>
        <w:rPr>
          <w:b/>
        </w:rPr>
        <w:t xml:space="preserve">Quelle: </w:t>
      </w:r>
      <w:r>
        <w:t>https://mcp.opencaselaw.ch/entscheid/vd_gerichte_ZD10.019275</w:t>
      </w:r>
    </w:p>
    <w:p>
      <w:r>
        <w:t>FR: VD_GERICHTE ZD10.019275 du 1 novembre 2012</w:t>
      </w:r>
    </w:p>
    <w:p>
      <w:r>
        <w:t>IT: VD_GERICHTE ZD10.019275 del 1 novembre 2012</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Interjeté dans le délai légal de trente jours dès la notification de la décision attaquée, le recours satisfait en outre aux autres conditions légales (art. 61 let. b LPGA), de sorte qu'il est recevable en la forme.</w:t>
      </w:r>
    </w:p>
    <w:p>
      <w:r>
        <w:t>- 16 -</w:t>
      </w:r>
    </w:p>
    <w:p>
      <w:r>
        <w:rPr>
          <w:b/>
        </w:rPr>
        <w:t>E. 2</w:t>
      </w:r>
    </w:p>
    <w:p>
      <w:r>
        <w:t>Le litige porte sur le droit du recourant à une rente de l'assurance-invalidité, respectivement sur sa capacité de travail.</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w:t>
      </w:r>
    </w:p>
    <w:p>
      <w:r>
        <w:t>- 17 - 115 V 133 consid. 2 ; ATF 114 V 310 consid. 2c ; ATF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 citées ; TF 9C_1023/2008 du 30 juin 2009 consid. 2.1.1 et C-202/2010 du 13 juin 2012 consid. 6.2).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 citées ; VSI 2001 p. 106 consid. 3b/bb et cc ; TF 9C_91/2008 du 30 septembre 2008 ; TF 8C_15/2009 du 11 janvier 2010 consid. 3.2). Ainsi, au vu de la divergence consacrée par la jurisprudence entre mandat thérapeutique et mandat d'expertise, on ne saurait remettre en cause une</w:t>
      </w:r>
    </w:p>
    <w:p>
      <w:r>
        <w:t>- 18 - expertise ordonnée par l'administration ou le juge et procéder à de nouvelles investigations du seul fait qu'un ou plusieurs médecins traitants ont une opinion contradictoire (ATF 124 I 170 consid. 4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 TF 8C_14/2009 du 8 avril 2009 consid. 3). d) La procédure dans le domaine des assurances sociales fait prévaloir la procédure inquisitoriale (art. 43 LPGA). Ainsi, l'autorité définit les faits pertinents et les preuves nécessaires, qu'elle ordonne et apprécie d'office (art. 12 PA [loi fédérale du 20 décembre 1968 sur la procédure administrative ; RS 172.021]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(TAF C-202/2010 du 13 juin 2012, consid. 5).</w:t>
      </w:r>
    </w:p>
    <w:p>
      <w:r>
        <w:rPr>
          <w:b/>
        </w:rPr>
        <w:t>E. 4</w:t>
      </w:r>
    </w:p>
    <w:p>
      <w:r>
        <w:t>a) En l'espèce, le recourant conteste une capacité de travail totale dans n'importe quelle activité. b) Sur le plan somatique, le Dr G.________ a, le 26 janvier 2004, conclu à un canal spinal lombaire rétréci et à un conflit disco-radiculaire prédominant en L5-S1. Il s’étonnait du manque d’amélioration de l’état de l’assuré après un traitement bien mené. Le 4 avril 2005, le Dr X.________ a diagnostiqué des lombo-sciatalgies chroniques, un canal lombaire étroit constitutionnel de L4-L5, une hernie discale, une protrusion circonférentielle, une compression bi-radiculaire et une claudication intermittente neurogène fortement handicapante. Il a affirmé qu'on ne pouvait exiger de l’assuré qu’il exerce son activité habituelle de maçon ou une autre activité. La CRR a établi en date du 13 avril 2004 les diagnostics de lombalgies basses, de canal lombaire étroit constitutionnel prédominant en L4-L5, de débord discal circonférentiel en L4-L5 et hernie</w:t>
      </w:r>
    </w:p>
    <w:p>
      <w:r>
        <w:t>- 19 - discale para-médiane gauche. Le 7 février 2005, le Dr T.________ fait état d’une compression bi-radiculaire L5. Les experts du CEM ont, dans leur rapport d'expertise du 9 février 2007, exposé que l’assuré souffrait de lombalgies chroniques, de canal spinal étroit, de discopathie L4-L5 et d’une hernie discale L5-S1 para-médiane gauche. Ils ont posé des limitations fonctionnelles excluant l’exercice de l’activité habituelle de maçon. Ils ont décrit les limitations fonctionnelles suivantes : pas de positions statiques prolongées, assise et debout, pas de positions penchées et en porte-à-faux, pas de travail en hauteur et en déséquilibre, pas de mouvements contraignants en flexion et en torsion du tronc, pas de déplacements courbés et pas de travail au sol. Le port de charges de plus de 5 à 7 kg devait être exclu et devait être encore plus limité si les efforts étaient répétitifs. Dans son rapport médical du 13 juillet 2009, le Dr V.________, praticien du SMR, a posé les diagnostics de lombo-sciatalgies bilatérales, de claudication neurogène sur canal lombaire étroit et de discopathies. Il admet la possibilité pour le recourant d’exercer une activité semi- sédentaire ou sédentaire sans port de charges avec alternance des positions. Il retient une capacité de travail exigible à 100% dans une activité adaptée avec une diminution de rendement de 20 %. Ainsi, l'autorité de céans relève que les médecins somaticiens admettent en substance les mêmes diagnostics et des limitations fonctionnelles similaires. Les experts du CEM envisagent les mêmes limitations fonctionnelles que le SMR, sans toutefois se prononcer sur la capacité de travail de l'assuré sur le plan somatique. En effet, selon eux, c’est principalement en raison des problèmes psychiques du recourant que sa capacité de travail est nulle. En définitive, seul le Dr X.________ s'est prononcé sur la capacité de travail exigible en sus du SMR. Cet avis sera toutefois examiné avec réserve dans la mesure où il s'agit du médecin traitant du recourant, que son dernier rapport est daté de 2006 et qu'il ne s'est plus exprimé sur la capacité de travail exigible depuis lors. Force est donc de constater que</w:t>
      </w:r>
    </w:p>
    <w:p>
      <w:r>
        <w:t>- 20 - l'avis du Dr V.________, médecin au SMR, affirmant que l'assuré dispose d'une capacité de travail totale avec diminution de rendement de 20 % dans une activité adaptée sur le plan somatique, suivi par l'intimé, ne saurait être écarté. c) Sur le plan psychique, le Dr L.________ a, le 23 février 2004, posé le diagnostic de trouble de l’adaptation avec humeur dépressive. Il a indiqué que le suivi serait difficile avec un homme fermé, communiquant difficilement et adoptant une position faite de forte passivité. Le 4 avril 2005, le Dr X.________ a diagnostiqué un état anxio-dépressif. Le 1er mars 2005, le Dr A.________ a relevé que le recourant était fragile sur le plan psycho-affectif. Quant à la Dresse Z.________, elle fait état, le 4 novembre 2005, de trouble dépressif récurrent et a estimé que l’incapacité de travail était totale. Le 9 février 2007, l’expert psychiatre du CEM a posé le diagnostic de trouble dépressif récurrent, épisode actuel moyen et de réaction à un facteur de stress sans précision. Il n'a pas établi de pronostic, admettant toutefois une incapacité de travail totale. Cependant, les experts paraissent considérer que ce sont surtout le niveau de formation, la capacité d’apprendre et la motivation qui limitent la capacité de travail du recourant. Le Dr S.________, dans son examen psychiatrique du 5 décembre 2007, a diagnostiqué un trouble de l’adaptation avec prédominance de la perturbation d’autres émotions. Il a relevé le comportement de l'assuré durant l’examen (attitude oppositionnelle notamment), ce qui n’est pas sans rappeler les constatations du Dr L.________ exposées ci-dessus. Le Dr S.________ a encore expliqué qu'il ne pouvait retenir le diagnostic de trouble dépressif récurrent retenu par l'expert du CEM car l'intensité du tableau ne correspondait pas à celle de ce trouble, l'assuré déclarant qu'il allait bien le jour de l'examen et semblait surtout inquiet de son devenir sur un plan socio-économique et familial. Il a ajouté que l'élément de récurrence n'était pas retrouvé à l'anamnèse et n'avait au surplus pas été avancé par le praticien du CEM. Le Dr J.________ avait par ailleurs déjà retenu, dans son rapport du 10 avril</w:t>
      </w:r>
    </w:p>
    <w:p>
      <w:r>
        <w:t>- 21 - 2007, que l'évaluation psychiatrique du recourant ne réunissait pas les critères d'un trouble dépressif récurrent. Dans un rapport médical du 8 avril 2009, la Dresse Z.________ a posé les diagnostics de trouble dépressif récurrent, épisode actuel sévère avec syndrome psychotique, de syndrome douloureux somatoforme persistant et de modification durable de la personnalité après une expérience de catastrophe. Il sied de préciser que ce dernier diagnostic est nouveau. De plus, dans l’anamnèse, il est fait état de torture que le recourant aurait subie dans son pays natal lorsqu'il était jeune. Or, cet élément ne se retrouve dans aucun des rapports précédents. Finalement, le Dr K.________, dans un rapport du 28 avril 2011, a diagnostiqué une schizophrénie paranoïde existante depuis 2004. L'autorité de céans relève toutefois que le psychiatre ne suit le recourant que depuis juillet 2010, que la décision querellée est datée de mai 2010 et que c'est le premier spécialiste à poser un tel diagnostic. Sur le vu de ce qui précède, l’avis du Dr S.________ qui a exposé pour quelles raisons il s’écartait du rapport d’expertise de la CEM a pleine valeur probante, son rapport étant complet et motivé. Quant aux avis des autres médecins, d'une part, la Dresse Z.________ est la seule à avoir posé le diagnostic de modification durable de la personnalité après une expérience de catastrophe et d'autre part, le Dr K.________ a été consulté après que la décision litigieuse a été rendue. Enfin, il paraît évident que des facteurs psychosociaux sont un frein conséquent à la reprise d’une activité professionnelle pour le recourant, mais il ne peut en être tenu compte dans le cadre d'une telle procédure, dans la mesure où cela n'est pas du ressort de l'assurance- invalidité. d) Le dossier étant complet, permettant ainsi à la cour de céans de statuer en pleine connaissance de cause, il n'y a pas lieu d'ordonner une instruction complémentaire, telle que requise par le recourant. En effet, de par le principe de l'appréciation anticipée des</w:t>
      </w:r>
    </w:p>
    <w:p>
      <w:r>
        <w:t>- 22 -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 une telle manière de procéder ne viole pas le droit d'être entendu (ATF 124 V 90 consid. 4b et 122 V 157 consid. 1d ; TF 8C_764/2009 du 12 octobre 2009, consid. 3.2 et les références citées).</w:t>
      </w:r>
    </w:p>
    <w:p>
      <w:r>
        <w:rPr>
          <w:b/>
        </w:rPr>
        <w:t>E. 5</w:t>
      </w:r>
    </w:p>
    <w:p>
      <w:r>
        <w:t>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