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ZD10.018188 vom 22. November 2011</w:t>
      </w:r>
    </w:p>
    <w:p>
      <w:r>
        <w:t>VD Tribunal cantonal, 2011-11-22, FR</w:t>
      </w:r>
    </w:p>
    <w:p>
      <w:r>
        <w:rPr>
          <w:b/>
        </w:rPr>
        <w:t xml:space="preserve">Quelle: </w:t>
      </w:r>
      <w:r>
        <w:t>https://mcp.opencaselaw.ch/entscheid/vd_gerichte_ZD10.018188</w:t>
      </w:r>
    </w:p>
    <w:p>
      <w:r>
        <w:t>FR: VD_GERICHTE ZD10.018188 du 22 novembre 2011</w:t>
      </w:r>
    </w:p>
    <w:p>
      <w:r>
        <w:t>IT: VD_GERICHTE ZD10.018188 del 22 novembre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La décision attaquée doit être réformée dans ce sens, ce qui entraîne l’admission partielle du recours. Vu le sort de ses conclusions, la recourante peut prétendre une indemnité de dépens à la charge de l'intimé (art. 61 let. g LPGA; 55 LPA- VD [loi vaudoise sur la procédure administrative du 28 octobre 2008, RSV 173.36]), qu'il convient de fixer à 2'500 francs. Il n'est pas perçu de frais de justice (art. 52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