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ZD10.016677 vom 14. März 2012</w:t>
      </w:r>
    </w:p>
    <w:p>
      <w:r>
        <w:t>VD Tribunal cantonal, 2012-03-14, FR</w:t>
      </w:r>
    </w:p>
    <w:p>
      <w:r>
        <w:rPr>
          <w:b/>
        </w:rPr>
        <w:t xml:space="preserve">Quelle: </w:t>
      </w:r>
      <w:r>
        <w:t>https://mcp.opencaselaw.ch/entscheid/vd_gerichte_ZD10.016677</w:t>
      </w:r>
    </w:p>
    <w:p>
      <w:r>
        <w:t>FR: VD_GERICHTE ZD10.016677 du 14 mars 2012</w:t>
      </w:r>
    </w:p>
    <w:p>
      <w:r>
        <w:t>IT: VD_GERICHTE ZD10.016677 del 14 marzo 2012</w:t>
      </w:r>
    </w:p>
    <w:p>
      <w:pPr>
        <w:pStyle w:val="Heading2"/>
      </w:pPr>
      <w:r>
        <w:t>Erwägungen</w:t>
      </w:r>
    </w:p>
    <w:p>
      <w:r>
        <w:rPr>
          <w:b/>
        </w:rPr>
        <w:t>E. 7</w:t>
      </w:r>
    </w:p>
    <w:p>
      <w:r>
        <w:t>En ce qui concerne le statut de la recourante, les parties ne contestent pas que celui-ci n'a pas évolué depuis la décision du 28 février 2003, et que l'intéressée doit dès lors être considérée comme active à 15% et ménagère à 85%. Certes, dans son rapport d'enquête économique sur le ménage du 3 juillet 2009, l'enquêtrice de l'OAI a suggéré un statut d'active à 20% et de ménagère à 80%, proposition fondée sur les déclarations de l'assurée, cette dernière ayant affirmé lors de l'enquête que, bien portante, elle aurait continué à s'occuper des trois ménages privés dont elle avait la charge avant son atteinte à la santé, activité correspondant à neuf heures de travail hebdomadaire, autrement dit à un 20%. Toutefois, à l'examen du dossier, il apparaît qu'avant son atteinte à la santé, l'assurée ne travaillait que pour deux particuliers et non trois. En effet, suite à son déménagement en 1993, l'intéressée a – pour des raisons de convenance personnelle – abandonné trois des cinq ménages privés dont elle s'occupait jusqu'alors, pour n'en garder que deux à raison de six heures par semaine au total, ce qui correspond à un taux d'activité de 15% (cf. notamment rapport d'enquête économique sur le ménage du 24 juin 1999, let. A.c supra). Il y a donc lieu de s'en tenir à cette situation et au statut d'active à 15% et de ménagère à 85% initialement retenu par l'office intimé.</w:t>
      </w:r>
    </w:p>
    <w:p>
      <w:r>
        <w:rPr>
          <w:b/>
        </w:rPr>
        <w:t>E. 8</w:t>
      </w:r>
    </w:p>
    <w:p>
      <w:r>
        <w:t>Il reste à examiner le degré d'invalidité présenté la recourante. a) Dans le cadre de la décision initiale rendue le 28 février 2003, il a été retenu que l'intéressée présentait un degré d'invalidité global de 53,12%. Plus particulièrement, le taux d'invalidité pour la part active de 15% était évalué à 7,65% compte tenu d'une capacité de travail de 50%. S'agissant de la part ménagère de 85%, le taux d'invalidité était fixé à 45,47% eu égard à des empêchements atteignant 53,5%. Aux termes de la décision attaquée du 26 avril 2010, l'OAI a retenu un taux d'invalidité global de 36,55%, arrondi à 37%, sur la base</w:t>
      </w:r>
    </w:p>
    <w:p>
      <w:r>
        <w:t>- 21 - d'un degré d'invalidité inchangé pour la part active de 15%, respectivement de 28,9% pour la part ménagère de 85% compte tenu d'empêchements évalués à 34%. b) S'agissant de l'évaluation du taux d'invalidité pour la part active, l'intimé a considéré qu'à l'instar de ce qui avait été retenu lors de la décision initiale de rente du 28 février 2003, il convenait de fixer ce taux à 7,65%, attendu qu'aucune modification notable des circonstances n'était intervenue entre-temps. Sous l'angle de la révision, le raisonnement de l'OAI est correct. Tout au plus convient-il de relever ici, au demeurant, que la Cour de céans n'a pas à se prononcer sur le bien-fondé des chiffre retenus dans le cadre de la décision du 28 février 2003 pour déterminer le préjudice économique, puisqu'en tout état de cause, il revient à l'administration de révoquer une décision manifestement erronée dont la rectification revêt une importance notable (cf. art. 53 al. 2 LPGA), et partant, de régler les modalités de la reconsidération, mais qu'en revanche, le juge n'a pas le pouvoir de la contraindre à reconsidérer une telle décision ni, à plus forte raison, de lui prescrire, à défaut d'une règle positive, les modalités d'un tel réexamen (cf. TF 9C_836/2010 du 20 mai 2011 consid. 3.2 et références citées). Pour sa part, la recourante ne conteste pas en tant que tels les chiffres avancés par l'office intimé, mais reproche cependant à l'OAI de ne pas avoir tenu compte de son âge dans l'évaluation de son préjudice économique. Sur ce point, il sied de relever que l'AI n'a pas à répondre des difficultés de l'assuré pour trouver un emploi approprié liées à des facteurs étrangers à l'invalidité – tels que des difficultés linguistiques, le manque de formation professionnelle ou l'âge.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w:t>
      </w:r>
    </w:p>
    <w:p>
      <w:r>
        <w:t>- 22 - capacité de travail résiduelle (TF 9C_695/2010 du 15 mars 2011 consid. 5; VSI 1998 p. 293). Du reste, la situation de la recourante n'a pas à être examinée au regard de la jurisprudence sur l'évaluation de l'invalidité des assurés proches de l'âge de la retraite, dès lors que l'intéressée était âgée de 58 ans au moment où la décision litigieuse a été rendue (soit le 26 avril 2010), ce qui ne correspond pas à la limite d'âge à partir de laquelle le Tribunal fédéral admet qu'il peut être difficile pour un assuré de se réinsérer sur le marché du travail (cf. TF 9C_428/2010 du 10 mars 2011 consid. 2.2). Aussi les griefs invoqués par l'assurée sur ce plan ne sont-ils pas fondés. Cela étant, dans le cadre de la présente affaire, il convient donc se rallier à la position de l'office pour retenir qu'en tant que personne active à 15%, la recourante présente toujours un taux d'invalidité de 7,65%. c) En ce qui concerne l'incapacité ménagère, l'OAI a considéré qu'il y avait là motif à révision, compte tenu du rapport d'enquête économique du 3 juillet 2009 fixant les empêchements ménagers à 34% et non plus à 53,5% comme lors de l'enquête réalisée en 1999. aa) Lors de la première enquête économique sur le ménage réalisée le 24 juin 1999, l'intéressée habitait avec son mari et deux de leurs trois enfants – le plus jeune effectuant alors son apprentissage – dans une villa de cinq pièces avec jardin. L'assurée était donc soumise à des contraintes non négligeables, par exemple pour la préparation des repas en semaine (midi et soir) pour quatre personnes, étant précisé que son mari et ses enfants, au travail durant la journée, l'aidaient en soirée dans la mesure du possible. A cette époque, ses empêchements ménagers ont été évalués à 53,5%. Dans le cadre de la seconde enquête ménagère effectuée le 29 juin 2009, il est apparu que la recourante et son mari habitaient désormais seuls et qu'ils avaient déménagé dans un appartement de trois pièces et demi sans jardin. S'agissant de la préparation des repas, l'assurée confectionnait un repas par jour pour deux personnes. En outre, le mari ne travaillait plus qu'à 50% en raison de</w:t>
      </w:r>
    </w:p>
    <w:p>
      <w:r>
        <w:t>- 23 - problèmes de santé, et était à la maison le reste du temps, se chargeant notamment de l'essentiel du nettoyage du logement et contribuant par ailleurs au reste des tâches ménagères. Aux termes de cette seconde enquête, il a été retenu que les empêchements de l'intéressée s'élevaient désormais à 34%. Cela étant, force est de constater qu'entre l'enquête du 24 juin 1999 et celle du 29 juin 2009, la situation de l'assurée s'est significativement modifiée dans la mesure où les travaux ménagers à accomplir sont devenus moins importants, cela en raison de la diminution du nombre de personnes vivant sous le même toit que l'intéressée, mais aussi compte tenu d'un logement plus petit et sans jardin, et eu égard également à l'aide plus conséquente apportée par son mari – cette aide étant du reste parfaitement exigible (cf. consid. 4b/bb supra). Sur ce dernier point, on notera par surabondance qu'il est vrai que l'invalidité d'un conjoint aggrave celle du conjoint qui était déjà invalide dans la mesure où celui-ci ne peut plus compter sur une aide lui permettant de compenser son handicap (cf. Valterio, op. cit. n° 2154 p. 577). Toutefois, en l'occurrence, si l'époux de l'assurée est certes malade, rien n'indique en revanche qu'il doive être considéré comme invalide au sens de l'AI. Quoi qu'il en soit, l'intéressé parvient, nonobstant ses problèmes de santé, à assumer une grande partie des tâches ménagères et, ce faisant, à compenser le handicap de son épouse. Partant, sa maladie ne saurait être décisive dans le présent contexte. cc) Pour le surplus, l'examen du dossier ne révèle aucun indice susceptible de remettre en cause les empêchements ménagers dégagés par l'enquêtrice. En particulier, le degré d'invalidité dans l'accomplissement des travaux habituels de 34% tient compte de l'empêchement d'accomplir ces travaux dans les différents champs d'activité en fonction d'une pondération de leur importance quantitative, et repose sur un examen attentif et précis de la situation familiale de l'intimée, ainsi que sur les réponses que celle-ci a fourni, en toute connaissance de cause, à la personne chargée de l'enquête. Il n'y a dès lors pas de raison de s'écarter de ce taux de 34%.</w:t>
      </w:r>
    </w:p>
    <w:p>
      <w:r>
        <w:t>- 24 - Certes, la recourante critique le rapport d'enquête ménagère du 3 juillet 2009, lui reprochant de ne pas mentionner l'aggravation de son état de santé, de ne pas se référer au rapport du Dr J.________ du 7 juin 2008, et de ne pas tenir compte des difficultés liées à son âge. Ses griefs s'avèrent cependant mal fondés. D'une part, attendu qu'il ressort des pièces médicales au dossier que l'état de santé de l'assurée ne s'est pas aggravé mais est demeuré stationnaire depuis la décision initiale du 28 février 2003 (cf. consid. 7b supra), l'enquêtrice de l'OAI était donc fondée à ne pas faire mention d'une quelconque aggravation dans son rapport du 3 juillet 2009. A cela s'ajoute que l'enquête ménagère repose dans une large mesure sur le comportement et les déclarations de la personne assurée, dont les propos sont contrôlés jusqu'à un certain point grâce à l'expérience de la personne chargée de l'enquête (cf. Valterio, op. cit., n° 2159 p. 579). Or, en l'occurrence, l'intéressée ne conteste pas que les déclarations consignées dans le rapport d'enquête du 3 juillet 2009 sont conformes à la réalité, de sorte qu'il n'y a pas lieu de remettre en cause la valeur probante de l'enquête sur ce point. Partant, si ce rapport ne mentionne aucune péjoration des atteintes de l'intéressée, c'est manifestement parce que cette dernière n'y a pas fait allusion lors de l'enquête. D'autre part, on peut comprendre que l'enquêtrice ne se soit pas expressément référée au compte-rendu du 7 juin 2008 du Dr J.________, dès lors que celui-ci ne se prononce pas sur l'incapacité ménagère de la recourante. Enfin, si l'enquête ménagère doit tenir compte des empêchements et handicaps résultant des diagnostics médicaux (cf. consid. 4b/bb supra), il est en revanche douteux que les difficultés liées à l'âge soient déterminantes pour évaluer l'incapacité ménagère. Quoi qu'il en soit, il demeure que le rapport du 3 juillet 2009 doit être considéré comme reflétant les propos tenus par l'assurée lors de l'enquête du 29 juin 2009, ainsi qu'exposé ci-dessus. Or, lors de cette enquête, la recourante</w:t>
      </w:r>
    </w:p>
    <w:p>
      <w:r>
        <w:t>- 25 - n'a nullement déclaré qu'elle éprouvait des difficultés à tenir son ménage du fait de son âge – étant rappelé qu'elle avait alors 57 ans et n'avait donc pas encore atteint un âge particulièrement avancé. Partant, on ne saurait reprocher à l'enquêtrice de l'OAI d'avoir omis de tenir compte d'un élément décisif pour apprécier l'incapacité ménagère de l'assurée. dd) En définitive, on peut donc admettre qu'il y a eu un changement notable de circonstances depuis la décision initiale du 28 février 2003, se traduisant par une diminution des empêchements ménagers de 53,5% en 1999 à 34% en 2009, et justifiant la révision de la demi-rente de l'assurée.</w:t>
      </w:r>
    </w:p>
    <w:p>
      <w:r>
        <w:rPr>
          <w:b/>
        </w:rPr>
        <w:t>E. 9</w:t>
      </w:r>
    </w:p>
    <w:p>
      <w:r>
        <w:t>Dès lors, compte tenu d'une situation médicale stationnaire, d'un degré d'invalidité de 7.65% pour la part active (de 15%) et de 28,9% pour la part ménagère (de 85%), le degré d'invalidité total s'élève à 36,55% et doit être arrondi à 37%, comme l'expose à juste titre la décision attaquée. Avec un degré d'invalidité inférieur à 40%, la recourante ne peut donc plus prétendre à une rente de l'assurance-invalidité.</w:t>
      </w:r>
    </w:p>
    <w:p>
      <w:r>
        <w:rPr>
          <w:b/>
        </w:rPr>
        <w:t>E. 10</w:t>
      </w:r>
    </w:p>
    <w:p>
      <w:r>
        <w:t>a) En conclusion,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69 al. 1bis LAI et 49 al. 1 LPA-VD). Il n'y a pas lieu d'allouer de dépens, la recourante n'obtenant pas gain de cause (art. 55 al. 1 LPA-VD; cf. art. 61 let. g LPGA).</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