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ZD10.015487 vom 14. Oktober 2011</w:t>
      </w:r>
    </w:p>
    <w:p>
      <w:r>
        <w:t>VD Tribunal cantonal, 2011-10-14, FR</w:t>
      </w:r>
    </w:p>
    <w:p>
      <w:r>
        <w:rPr>
          <w:b/>
        </w:rPr>
        <w:t xml:space="preserve">Quelle: </w:t>
      </w:r>
      <w:r>
        <w:t>https://mcp.opencaselaw.ch/entscheid/vd_gerichte_ZD10.015487</w:t>
      </w:r>
    </w:p>
    <w:p>
      <w:r>
        <w:t>FR: VD_GERICHTE ZD10.015487 du 14 octobre 2011</w:t>
      </w:r>
    </w:p>
    <w:p>
      <w:r>
        <w:t>IT: VD_GERICHTE ZD10.015487 del 14 ottobre 2011</w:t>
      </w:r>
    </w:p>
    <w:p>
      <w:pPr>
        <w:pStyle w:val="Heading2"/>
      </w:pPr>
      <w:r>
        <w:t>Erwägungen</w:t>
      </w:r>
    </w:p>
    <w:p>
      <w:r>
        <w:rPr>
          <w:b/>
        </w:rPr>
        <w:t>E. 1</w:t>
      </w:r>
    </w:p>
    <w:p>
      <w:r>
        <w:t>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interjeté le 11 mai 2010, dans le délai légal de trente jours dès la notification de la décision entreprise intervenue le 15 avril 2010, le recours a été déposé en temps utile – compte tenu de la suspension du délai de recours pendant les féries de printemps (art. 38 al.</w:t>
      </w:r>
    </w:p>
    <w:p>
      <w:r>
        <w:rPr>
          <w:b/>
        </w:rPr>
        <w:t>E. 4</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 3.4; 128 V 29 c. 1; TF 8C_708/2007 du 21 août 2008 c. 2.1). En règle générale, le revenu hypothétique de la personne valide se détermine en établissant au degré de la vraisemblance prépondérante ce qu'elle aurait effectivement pu réaliser au moment déterminant si elle était en bonne santé (ATF 134 V 322 c. 4.1; TF</w:t>
      </w:r>
    </w:p>
    <w:p>
      <w:r>
        <w:t>- 8 - 9C_501/2009 du 12 mai 2010 c. 5.2).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 4.3.1; TF 9C_900/2009 du 27 avril 2010 c. 3.2; TF 9C_609/2009 du 15 avril 2010 c. 8.1; TF 9C_953/2008 du 5 octobre 2009 c. 4.3).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129 V 472 c. 4.2.1; TF 9C_900/2009 du 27 avril 2010 c. 3.3; TF 9C_609/2009 du 15 avril 2010 c. 8.2.2). On se réfère alors à la statistique des salaires bruts standardisés, en se fondant toujours sur la médiane ou valeur centrale (ATF 124 V 323 c. 3b/bb; TF 9C_93/2008 du 19 janvier 2009 c. 6.3.3; TF I 7/06 du 12 janvier 2007 c. 5.2; VSI 1999 p. 182).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w:t>
      </w:r>
    </w:p>
    <w:p>
      <w:r>
        <w:t>- 9 - revenu d'une activité lucrative (ATF 134 V 322 consid. 5.2; 126 V 75 consid. 5b; VSI 2002 p. 70 s. consid. 4b). Cet abattement résulte de l'exercice par l'administration de son pouvoir d'appréciation, et le juge des assurances sociales ne peut substituer sa propre appréciation à celle de l'administration sans motif pertinent (ATF 137 V 71; 132 V 393 consid. 3.3; 126 V 75 consid. 6 p. 81). b) En l'espèce, le recourant critique uniquement l'abattement de 10% effectué par l'intimé sur le revenu annuel dans une activité adaptée. Hormis les limitations fonctionnelles du recourant, il n'y a toutefois pas d'autre élément déterminant justifiant de s'écarter de l'appréciation de l'administration et d'accorder une réduction supérieure au taux retenu de 10%. Au contraire, il faut rappeler que le recourant est dorénavant au bénéfice d'une autorisation de séjour permettant d'exercer n'importe laquelle des activités compatibles avec son état de santé, celles- ci n'exigeant pas l'acquisition de nouvelles compétences professionnelles. Ces considérations sont d'autant plus vraies que l'intimé s'est fondé sur un statut d'actif à 100%, alors que dans son recours, le recourant invoque le fait qu'il a dû s'occuper de sa fille cadette pendant que sa femme travaillait. Cette affirmation contredit la réponse faite sur le formulaire 531bis du 20 mai 2009, où le recourant a déclaré qu'il aurait travaillé à plein temps s'il avait été en bonne santé. Son taux d'activité partiel ressort également du rapport d'évaluation du 12 novembre 2008, qui mentionne trois heures de travail par jour et précise que le recourant n'a jamais exercé d'activité à plein temps. Le grief du recourant est donc infondé.</w:t>
      </w:r>
    </w:p>
    <w:p>
      <w:r>
        <w:rPr>
          <w:b/>
        </w:rPr>
        <w:t>E. 5</w:t>
      </w:r>
    </w:p>
    <w:p>
      <w:r>
        <w:t>Compte tenu de ce qui précède, le recours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(art. 69 al. 1 bis LAI). En l'espèce, les frais doivent être mis à la</w:t>
      </w:r>
    </w:p>
    <w:p>
      <w:r>
        <w:t>- 10 - charge du recourant, qui succombe. Le recourant n'a pas droit à l'octroi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