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ZD10.014606 vom 6. Juli 2015</w:t>
      </w:r>
    </w:p>
    <w:p>
      <w:r>
        <w:t>VD Tribunal cantonal, 2015-07-06, FR</w:t>
      </w:r>
    </w:p>
    <w:p>
      <w:r>
        <w:rPr>
          <w:b/>
        </w:rPr>
        <w:t xml:space="preserve">Quelle: </w:t>
      </w:r>
      <w:r>
        <w:t>https://mcp.opencaselaw.ch/entscheid/vd_gerichte_ZD10.014606</w:t>
      </w:r>
    </w:p>
    <w:p>
      <w:r>
        <w:t>FR: VD_GERICHTE ZD10.014606 du 6 juillet 2015</w:t>
      </w:r>
    </w:p>
    <w:p>
      <w:r>
        <w:t>IT: VD_GERICHTE ZD10.014606 del 6 luglio 2015</w:t>
      </w:r>
    </w:p>
    <w:p>
      <w:pPr>
        <w:pStyle w:val="Heading2"/>
      </w:pPr>
      <w:r>
        <w:t>Erwägungen</w:t>
      </w:r>
    </w:p>
    <w:p>
      <w:r>
        <w:rPr>
          <w:b/>
        </w:rPr>
        <w:t>E. 4</w:t>
      </w:r>
    </w:p>
    <w:p>
      <w:r>
        <w:t>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w:t>
      </w:r>
    </w:p>
    <w:p>
      <w:r>
        <w:t>- 56 -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dans sa teneur en vigueur dès le 1er janvier 2008 ; cf. anciennement art. 28 al. 1 et 29 al. 1 let. b LAI).</w:t>
      </w:r>
    </w:p>
    <w:p>
      <w:r>
        <w:rPr>
          <w:b/>
        </w:rPr>
        <w:t>E. 5</w:t>
      </w:r>
    </w:p>
    <w:p>
      <w:r>
        <w:t>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2c et 105 V 156 consid. 1 ; cf. TF I 562/06 du 25 juillet 2007 consid. 2.1 ; cf. TFA I 274/05 du 21 mars 2006 consid. 1.2). b) Le juge des assurances sociales doit examiner de manière objective tous les moyens de preuve, quelle qu’en soit la provenance, puis décider si les documents à disposition permettent de porter un jugement valable sur le droit litigieux. Cependant, les constatations émanant de</w:t>
      </w:r>
    </w:p>
    <w:p>
      <w:r>
        <w:t>- 57 - médecins consultés par l'assuré doivent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(cf. ATF 125 V 351 consid. 3b/cc et les références ; cf. VSI 2001, p. 106 consid. 3b/bb et cc ; cf. TF 8C_15/2009 du 11 janvier 2010 consid. 3.2).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 3.1).</w:t>
      </w:r>
    </w:p>
    <w:p>
      <w:r>
        <w:t>- 58 -</w:t>
      </w:r>
    </w:p>
    <w:p>
      <w:r>
        <w:rPr>
          <w:b/>
        </w:rPr>
        <w:t>E. 6</w:t>
      </w:r>
    </w:p>
    <w:p>
      <w:r>
        <w:t>a) Sur le plan psychiatrique, les Drs OO.________ et PP.________ ont posé le diagnostic incapacitant de trouble somatoforme sans précision (cf. rapport d’expertise du 25 février 2008 p. 8). Les experts du Centre II.________ n'ont quant à eux pas retenu ce diagnostic, considérant qu’il existait un substrat somatique neurologique bien présent. Les experts ont en outre relevé qu'il n'existait aucun signe de non organicité selon Waddell, bien que ces derniers aient été scrupuleusement recherchés. Ils ont uniquement posé le diagnostic sans répercussion sur la capacité de travail de trouble anxieux et dépressif mixte (cf. rapport d’expertise du 21 octobre 2009 pp. 24 s., 26 et 27). Le recourant n'est d'ailleurs pas suivi par un psychiatre. Aucun trouble psychique invalidant ne doit dès lors être retenu. b) Sur le plan somatique, les experts du Centre II.________, dans leur rapport d'expertise du 21 octobre 2009 (p. 27), ont posé le diagnostic ayant des répercussion sur la capacité de travail de plexopathie sensitivomotrice axonale du plexus brachial gauche d'origine vraisemblablement iatrogène dans les suites d'une infiltration anesthésique lors d'un bloc axillaire, confirmant ainsi le diagnostic posé par le Dr O.________ (cf. rapports des 26 août 2005, 13 décembre 2007 et 13 février 2008) et, après lui, par le Prof. VV.________ et les Drs WW.________ et XX.________ (cf. rapport du 30 mars 2007) ainsi que par les Drs AA.________ (cf. rapport du 8 avril 2008, ZZ.________ (cf. rapport du 29 août 2008) et AAA.________ (cf. rapports des 10 et 24 février 2009) notamment. De même, le Prof. HHH.________ a posé un diagnostic similaire (cf. rapport d’expertise du 9 juillet 2014 p. 3). Ce diagnostic n'est d'ailleurs – et à juste titre – pas mis en cause par le recourant. S'agissant de la capacité de travail, les experts du Centre II.________ ont estimé que le recourant ne pouvait plus travailler dans son ancienne activité de manutentionnaire mais que, dans une activité mono-</w:t>
      </w:r>
    </w:p>
    <w:p>
      <w:r>
        <w:t>- 59 - manuelle droite, il pouvait travailler à 50% pour tenir compte de ses douleurs et des médicaments qu'il devait prendre. Sur le plan de l'efficacité, ils ont considéré préférable de retenir une capacité pleine avec une diminution de rendement à 50% (cf. rapport d’expertise du 21 octobre 2009 p. 26 et 28 s.). Pour estimer cette capacité de travail, les experts se sont fondés sur l'examen du dossier ainsi que sur les examens clinique et complémentaire qu'ils ont effectués. Le Prof. HHH.________ a quant à lui estimé que les troubles présentés par le recourant réduisaient certainement les possibilités d’activités professionnelles sans toutefois l’en empêcher complètement, selon la nature de l’activité. Il a estimé qu'un taux de réduction de travail de plus de 50% paraissait tout à fait réaliste en raison de la lésion du plexus brachial gauche qui entraînait des douleurs chroniques limitant clairement toute activité professionnelle ou non professionnelle, cette réduction de travail d’au moins 50% et vraisemblablement de 60-70% étant à considérer depuis les suites opératoires du 22 septembre 2004. Après avoir exposé qu'il devait exister des activités professionnelles adaptées à « l’infirmité » du recourant, mais qui devraient justifier une réorientation professionnelle totale avec une nouvelle formation, le Prof. HHH.________ a estimé que compte tenu des douleurs qui survenaient à tout moment, et selon les mouvements volontaires ou involontaires du recourant, ce taux de capacité au travail ne pourrait vraisemblablement pas dépasser 40% (cf. rapport d’expertise du 9 juillet 2014 p. 5). L'appréciation de la capacité de travail par l'expert HHH.________ n'est ainsi pas très claire ou quelque peu imprécise puisque ce médecin mentionne à la fois une incapacité de travail d'au moins 50% tout en retenant finalement un taux inférieur. En outre, il n'explique pas pour quelles raisons il se distancie de l'appréciation des experts du Centre II.________. Il ne mentionne pas d'aggravation de l'état de santé du recourant, estimant au contraire que cette capacité de travail est la même depuis le 22 septembre 2004. Au regard de ces carences, la Cour de céans ne voit dès lors pas de motifs de s'écarter de l'évaluation de la capacité de travail telle qu’effectuée par les experts du Centre II.________. Attendu en</w:t>
      </w:r>
    </w:p>
    <w:p>
      <w:r>
        <w:t>- 60 - outre que les douleurs ressenties par l’assuré peuvent survenir à tout moment, que les mouvements soient volontaires ou non, il apparaît mieux correspondre aux possibilités du recourant de retenir une diminution de rendement de 50% sur un taux de 100% plutôt qu'un taux de 50% sans diminution de rendement. Quant aux autres rapports médicaux, comme le relève le SMR (cf. avis médical des Drs QQ.________ et CCC.________ du 1er mars 2010), ils ne mettent pas en doute l’appréciation du Centre II.________ dans la mesure où ils n'expliquent pas les motifs pour lesquels ils s'en écartent. Force est dès lors de retenir que le recourant présente une capacité de travail de 100% avec un rendement réduit à 50%.</w:t>
      </w:r>
    </w:p>
    <w:p>
      <w:r>
        <w:rPr>
          <w:b/>
        </w:rPr>
        <w:t>E. 7</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(cf. ATF 134 V 64 consid. 4.2.1 et 110 V 273 consid. 4b). Pour évaluer</w:t>
      </w:r>
    </w:p>
    <w:p>
      <w:r>
        <w:t>- 61 -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(cf.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(cf. TF 8C_150/2013 du 23 septembre 2013 consid. 3.2, 9C_446/2008 du 18 septembre 2008 et 9C_236/2008 du 4 août 2008 ; cf. TFA I 175/04 du 28 janvier 2005 consid. 3 ; cf.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(cf. TF 9C_313/2007 du 8 janvier 2008 consid. 5.2 in fine et la référence). En l'occurrence, on peut raisonnablement attendre du recourant qu’il change d’orientation professionnelle pour rechercher une activité adaptée à son état de santé, possibilité dont il dispose théoriquement sur un marché du travail équilibré ; il y est d'ailleurs tenu en vertu de son obligation de diminuer le dommage. Sur le marché du travail entrant en considération pour le recourant, on doit convenir qu'il existe un certain nombre d'activités qui ne nécessitent pas l'utilisation des</w:t>
      </w:r>
    </w:p>
    <w:p>
      <w:r>
        <w:t>- 62 - deux mains, partant qui sont adaptées à son état de santé. On peut ainsi évoquer des tâches simples de surveillance, de vérification ou de contrôle, ou d'autres qui consistent à approvisionner et à surveiller des machines ou des unités de production automatiques ou semi-automatiques (cf. TFA I 766/04 du 7 juin 2005 consid. 5.3.1 et références citées). c)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1034/2006 du 6 décembre 2007 consid. 3.3.2.1). En l'espèce, ce salaire a été calculé sur la base des informations données par l'employeur le 26 novembre 2009, à savoir 67'650 fr. ([{4'950 fr. x 13} + {250 fr. x 12}] + 300 fr.). Ce montant n'est à juste titre pas contesté par le recourant.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(cf. ATF 129 V 472 consid. 4.2.1 ; cf. TF 9C_900/2009 du 27 avril 2010 consid. 3.3). On se réfère alors à la statistique des salaires bruts standardisés, en se fondant toujours sur la médiane ou</w:t>
      </w:r>
    </w:p>
    <w:p>
      <w:r>
        <w:t>- 63 - valeur centrale (cf. ATF 124 V 323 consid. 3b/bb ; cf. TF I 7/2006 du 12 janvier 2007 consid. 5.2 ; cf. VSI 1999 p. 182). aa) En l’occurrence, le salaire de référence retenu par l’intimé correspond au niveau de qualification 4, soit déjà au niveau salarial le plus bas. Ce revenu est celui auquel peuvent prétendre les hommes effectuant des activités simples et répétitives dans le secteur privé (production et services), soit en 2008, 4’806 fr. par mois, part au 13ème salaire comprise (ESS 2008, TA1, niveau de qualification 4). Comme les salaires bruts standardisés tiennent compte d’un horaire de travail de quarante heures, soit une durée hebdomadaire inférieure à la moyenne usuelle dans les entreprises en 2008 (41,6 heures [La Vie économique, 6-2011, p. 94, tableau B 9.2]), le revenu mensuel s'élève à 4'998 fr. 24 (4’806 fr. x 41,6 / 40), ce qui donne un salaire annuel de 59'978 fr. 88. Après adaptation de ce chiffre à l’évolution des salaires nominaux de 2008 à 2009 (2009 : + 2.1% [La Vie économique, 10-2011, p. 99, tableau B 10.2]), on obtient un revenu annuel de 61’238 fr. 44 dont le 50% est égal à 30'619 fr. 22. bb) Le montant résultant des statistiques peut encore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5b/aa-cc). De jurisprudence constante, le Tribunal fédéral considère que la nature des limitations fonctionnelles présentées par une personne assurée peut constituer un facteur susceptible d'influer sur ses perspectives salariales (cf. ATF 126 V 75 consid. 5a/bb et les références citées ; voir également TFA I 848/05 du 29 novembre 2006 consid. 5.3.3). Toutefois, lorsque l'assuré est apte à travailler à plein temps, mais avec un rendement diminué, cette diminution de rendement est prise en compte dans la fixation de l'incapacité de travail. En principe, il n'y a pas lieu d'opérer en plus un abattement lié au handicap (cf. TF 9C_40/2011 du 1er</w:t>
      </w:r>
    </w:p>
    <w:p>
      <w:r>
        <w:t>- 64 - avril 2011 consid. 2.3.1, 8C_827/2009 du 26 avril 2010 consid. 4.2.1, 9C__980/2008 du 4 mars 2009 consid. 3.1.2, 8C_765/2007 du 11 juillet 2008 consid. 4.3.3, 9C_344/2008 du 5 juin 2008 consid. 4 et I 69/07 du 2 novembre 2007 consid. 5.1). En revanche, un abattement à raison d'autres circonstances est admissible dans la limite maximale de 25% (cf. TF 8C_585/2011 du 5 avril 2012 consid. 3.3).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Dans le cas présent, les experts estiment que le recourant, droitier, est apte à travailler à 100% dans une activité mono-manuelle droite mais avec un rendement réduit à cause des douleurs ressenties dans le membre supérieur gauche et des médicaments. Il n'est en revanche pas tenu compte du fait qu'il est plus difficile de trouver un emploi dans une activité mono-manuelle et que le recourant sera désavantagé sur le plan salarial. Compte tenu de ces circonstances, un abattement de 15% apparaît justifié, le taux de 10% retenu par l'OAI étant insuffisant.</w:t>
      </w:r>
    </w:p>
    <w:p>
      <w:r>
        <w:t>- 65 - cc) Le salaire sans invalidité est ainsi de 26'026 fr. 34 (30'619 fr. 22 – [30'619 fr. 22 x 15%]). e) La perte de gain est dès lors de 61,53% ([{67'650 fr. - 26'026 fr. 34} x 100] / 67'650 fr.). Le recourant a ainsi droit à un trois-quart de rente.</w:t>
      </w:r>
    </w:p>
    <w:p>
      <w:r>
        <w:rPr>
          <w:b/>
        </w:rPr>
        <w:t>E. 8</w:t>
      </w:r>
    </w:p>
    <w:p>
      <w:r>
        <w:t>Le dossier étant complet, il n'y a pas lieu d'ordonner les compléments d'instruction requis par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w:t>
      </w:r>
    </w:p>
    <w:p>
      <w:r>
        <w:rPr>
          <w:b/>
        </w:rPr>
        <w:t>E. 9</w:t>
      </w:r>
    </w:p>
    <w:p>
      <w:r>
        <w:t>a) En conséquence, dans la mesure où il est recevable, le recours doit être partiellement admis et la décision rendue le 17 mars 2010 par l'OAI réformée en ce sens que le recourant a droit à un trois- quart de rente dès le 1er septembre 2009. b) Le recourant, qui obtient partiellement gain de cause avec le concours d’un mandataire professionnel, a droit à des dépens partiels dont le montant doit être déterminé d’après l’importance et la complexité du litige (cf. art. 61 let. g LPGA ; cf. également art. 10 et 11 TFJDA§ [tarif du 28 avril 2015 des frais judiciaires et des dépens en matière administrative ; 173.36.5.1]). En l’espèce, il y a lieu d’arrêter le montant des dépens partiels à 1'500 fr., à la charge de l’intimé qui succombe (cf. art. 55 al. 2 LPA-VD). Ce montant correspond au moins à ce qui aurait été alloué au titre de l’assistance judiciaire, celle-ci ayant été accordée au recourant avec effet au 13 février 2015. Partant, il n’y a pas lieu de fixer plus précisément l’indemnité d’office du conseil du recourant.</w:t>
      </w:r>
    </w:p>
    <w:p>
      <w:r>
        <w:t>- 66 - Les frais de justice, par 400 fr., sont mis par moitié à la charge du recourant et par moitié à celle de l’OAI (cf. art. 69 al. 1bis LAI ; cf. art. 49 al. 1 et 51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