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ZD10.014119 vom 29. September 2011</w:t>
      </w:r>
    </w:p>
    <w:p>
      <w:r>
        <w:t>VD Tribunal cantonal, 2011-09-29, FR</w:t>
      </w:r>
    </w:p>
    <w:p>
      <w:r>
        <w:rPr>
          <w:b/>
        </w:rPr>
        <w:t xml:space="preserve">Quelle: </w:t>
      </w:r>
      <w:r>
        <w:t>https://mcp.opencaselaw.ch/entscheid/vd_gerichte_ZD10.014119</w:t>
      </w:r>
    </w:p>
    <w:p>
      <w:r>
        <w:t>FR: VD_GERICHTE ZD10.014119 du 29 septembre 2011</w:t>
      </w:r>
    </w:p>
    <w:p>
      <w:r>
        <w:t>IT: VD_GERICHTE ZD10.014119 del 29 settembre 2011</w:t>
      </w:r>
    </w:p>
    <w:p>
      <w:pPr>
        <w:pStyle w:val="Heading2"/>
      </w:pPr>
      <w:r>
        <w:t>Erwägungen</w:t>
      </w:r>
    </w:p>
    <w:p>
      <w:r>
        <w:rPr>
          <w:b/>
        </w:rPr>
        <w:t>E. 1</w:t>
      </w:r>
    </w:p>
    <w:p>
      <w:r>
        <w:t>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interjeté le 30 avril 2010, dans le délai légal de trente jours dès la notification de la décision entreprise intervenue le 1er mars 2010, le recours a été déposé en temps utile – compte tenu de la suspension du délai de recours pendant les féries de printemps (art. 38 al.</w:t>
      </w:r>
    </w:p>
    <w:p>
      <w:r>
        <w:rPr>
          <w:b/>
        </w:rPr>
        <w:t>E. 4</w:t>
      </w:r>
    </w:p>
    <w:p>
      <w:r>
        <w:t>a) En définitive, le recours se révèle mal fondé et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