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ZD10.013045 vom 28. September 2011</w:t>
      </w:r>
    </w:p>
    <w:p>
      <w:r>
        <w:t>VD Tribunal cantonal, 2011-09-28, FR</w:t>
      </w:r>
    </w:p>
    <w:p>
      <w:r>
        <w:rPr>
          <w:b/>
        </w:rPr>
        <w:t xml:space="preserve">Quelle: </w:t>
      </w:r>
      <w:r>
        <w:t>https://mcp.opencaselaw.ch/entscheid/vd_gerichte_ZD10.013045</w:t>
      </w:r>
    </w:p>
    <w:p>
      <w:r>
        <w:t>FR: VD_GERICHTE ZD10.013045 du 28 septembre 2011</w:t>
      </w:r>
    </w:p>
    <w:p>
      <w:r>
        <w:t>IT: VD_GERICHTE ZD10.013045 del 28 settembre 2011</w:t>
      </w:r>
    </w:p>
    <w:p>
      <w:pPr>
        <w:pStyle w:val="Heading2"/>
      </w:pPr>
      <w:r>
        <w:t>Erwägungen</w:t>
      </w:r>
    </w:p>
    <w:p>
      <w:r>
        <w:rPr>
          <w:b/>
        </w:rPr>
        <w:t>E. 3</w:t>
      </w:r>
    </w:p>
    <w:p>
      <w:r>
        <w:t>novembre 2009, consid. 4, 8C_14/2009 du 8 avril 2009, consid. 3 et 9C_289/2007 du 29 janvier 2008, consid. 4.2). c) En l'espèce, la recourante se plaint en premier lieu du fait que l’expertise psychiatrique s’est déroulée uniquement sur un entretien d'un durée de deux heures. Or il est constant que la durée d’un examen clinique ne saurait remettre en question la valeur du travail de l’expert, dont le rôle consiste à se faire une idée sur l’état de santé d’un assuré dans un délai relativement bref (cf. TF I 1084/2006 du 26 novembre 2007, consid. 4 et 9C_443/2008 du 28 avril 2009, consid. 4.4.2). L'expert mandaté en l'espèce, à savoir la Dresse F.________, a donc été en mesure de juger l'état psychiatrique de l'intéressée au cours de son examen clinique pratiqué le 14 septembre 2009. En l'occurrence, l'expert psychiatre précité a procédé à un examen complet du cas qui lui a été confié. Son rapport du 30 septembre 2009 débute par un résumé des pièces médicales au dossier (pp. 4 – 12), brosse une anamnèse détaillée et circonstanciée du cas (pp. 13 – 19), prend en compte les plaintes de la recourante (p. 20), comporte un status</w:t>
      </w:r>
    </w:p>
    <w:p>
      <w:r>
        <w:t>- 14 - clinique en lien avec l'examen pratiqué (pp. 21 – 22), pose des diagnostics clairs en fonction de la classification internationale des troubles mentaux et du comportement (p. 22). L'expert discute sur plusieurs pages du cas et de son pronostic de manière cohérente. Il retient en définitive l'existence de limitations fonctionnelles (diminution du seuil de tolérance, vulnérabilité au stress, impulsivité, conflits relationnels et diminution des ressources psychiques) en raison d'une part, du trouble de la personnalité mal compensé (F60.30) et d'autre part, du retard mental léger (F70) tels que diagnostiqués comme ayant des répercussions sur la capacité de travail. Aussi l'expert a pris en considération l'ensemble des éléments de santé dans le cadre de son examen, de sorte que son expertise du 30 septembre 2009 emporte pleine valeur probante, au sens de la jurisprudence rappelée ci-dessus. d) Le dossier médical étant complet, permettant ainsi à la Cour de céans de statuer en pleine connaissance de cause, il n'y a pas lieu d'ordonner une instruction complémentaire sous la forme d'une nouvelle expertise psychiatrique telle que requise en l'espèce par la recourante.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 La Cour de céans retient en définitive que sur la base des conclusions de l'expertise psychiatrique de la Dresse F.________, vu l'ensemble des atteintes à sa santé, à compter de novembre 2004, la recourante présente une capacité de travail de 70% sans diminution de</w:t>
      </w:r>
    </w:p>
    <w:p>
      <w:r>
        <w:t>- 15 - rendement ceci tant dans son activité de nettoyage que dans l'exercice de quelque autre activité simple adaptée à ses limitations fonctionnelles.</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les références citées; TF 9C_900/2009 du 27 avril 2010 consid. 3.2; TF 9C_104/2010 du 27 juillet 2010 consid. 4.1; TF 9C_609/2009 du 15 avril 2010 consid. 8.1).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(ATF 129 V 472 consid. 4.2.1; TF 9C_900/2009 du 27 avril 2010 consid. 3.3; TF 9C_57/2008</w:t>
      </w:r>
    </w:p>
    <w:p>
      <w:r>
        <w:t>- 16 - du 3 novembre 2008 consid. 3).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b) Il ressort du dossier que le contrat de travail de la recourante en tant que femme de ménage prenait fin au mois d'août 2005. La survenance de son incapacité de travail remonte cependant au mois de novembre 2004, de sorte que son revenu hypothétique sans invalidité se déduit en principe du salaire réalisé en dernier lieu avant l'atteinte à la santé, en tenant compte de l'évolution des salaires jusqu'au moment de la naissance du droit à la rente. En bonne santé, la recourante a indiqué le 3 avril 2005 qu'elle travaillerait à un taux de 100% dans son activité habituelle. Sur la base des informations communiquées le 21 avril 2005 par l'employeur, il appert que pour un travail exercé à temps partiel, sans jours d'absence pour cause de maladie, la recourante aurait effectué en 2004 un total de 1'134,35 heures de travail (869h. 20 + 265h. 15), ce qui équivaut à un total de 2'268,7 heures de travail pour un emploi occupé à plein temps. Rétribuée au tarif horaire brut de 19 fr. 33, sans atteinte à la santé, la recourante aurait été en mesure de réaliser en 2004 un revenu annuel de 43'853 fr. 97 (2'268,7 heures x 19 fr. 33). Adapté à l'évolution des salaires jusqu'en 2006, le revenu de valide s'élève en définitive à 44'824 fr. 02 (43'853 fr. 97 + 1% [2004 – 2005] + 1,2% [2005 à 2006], cf. tableau B10.2 La Vie économique 12-2007, p. 99). En l'espèce, le calcul du revenu d'invalide de la recourante se base sur le salaire mensuel brut de 4'019 fr. tel que ressortant de l'ESS 2006 (cf. tableau B10.1 La Vie économique 12-2008, p. 95), soit un revenu annuel brut, pour un horaire de travail hebdomadaire usuel moyen dans le secteur d'activité concerné de 41.7 h. en 2006 (part au 13e salaire comprise), de 50'277 fr. 69. Considérant que la capacité de travail résiduelle de la recourante n'est pas de 100% ainsi que le retient la décision attaquée mais s'établit en réalité à un maximum de 70% dans</w:t>
      </w:r>
    </w:p>
    <w:p>
      <w:r>
        <w:t>- 17 - toute activité simple adaptée aux limitations fonctionnelles (cf. consid. 3c et d supra) –outre le fait que le pronostic quant à la reprise d'un travail apparaît mauvais –, le revenu d'invalide est de 35'194 fr. 38 ([50'277 fr. 69 x 70] / 100). Lorsqu'il est fait application des valeurs statistiques de l'ESS,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cf. pour exemple TF 9C_91/2010 du 2 juillet 2010, consid. 4.1).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juge ne peut, sans motif pertinent, substituer son appréciation à celle de l'administration (ATF 126 V 75 consid. 5b/dd).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(TF 9C_280/2010 du 12 avril 2011). En l'occurrence, le taux de 10% retenu par l'intimé tient compte dans une mesure satisfaisante du désavantage salarial causé du fait des limitations somatiques liées au handicap telles que retenues par</w:t>
      </w:r>
    </w:p>
    <w:p>
      <w:r>
        <w:t>- 18 - l'expert judiciaire ainsi que des autres facteurs personnels pouvant entrer en considération. La Cour de céans ne s'écartera dès lors pas de l'appréciation de l'administration. Partant, après déduction d'un abattement de 10%, le revenu d'invalide réalisable en 2006 s'établit en définitive à 31'674 fr. 94 ([35'194 fr. 38 x 90] / 100). Après comparaison entre le revenu sans invalidité (44'824 fr. 02) et le revenu avec invalidité (31'674 fr. 94) réalisables en 2006, il en résulte un préjudice économique de 13'149 fr. 08, correspondant à un taux d'invalidité de 29,33 % ([13'149 fr. 08 / 44'824 fr. 02] x 100), arrondi à 29 % (ATF 130 V 121). c) On constate que le taux d'invalidité de la recourante étant inférieur au seuil minimum de 40% (art. 28 al. 1 LAI dans sa teneur en vigueur jusqu'au 31 décembre 2003, puis dans celle consécutive aux 4e et 5e révision de l'AI), il n'existe aucun droit à la rente. La décision de refus rendue le 18 mars 2010 par l'OAI s'avère donc correcte dès lors que l'invalidité de la recourante n'est pas susceptible de lui ouvrir le droit à la rente AI.</w:t>
      </w:r>
    </w:p>
    <w:p>
      <w:r>
        <w:rPr>
          <w:b/>
        </w:rPr>
        <w:t>E. 5</w:t>
      </w:r>
    </w:p>
    <w:p>
      <w:r>
        <w:t>Au vu de ce qui précède, le recours,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w:t>
      </w:r>
    </w:p>
    <w:p>
      <w:r>
        <w:t>- 19 - montants éventuellement payés à titre de franchise depuis le début de la procédure. En l’occurrence, les frais judiciaires par 450 fr. sont provisoirement laissés à la charge de l'Etat. L'indemnité d'office de Me Mirko Giorgini, conseil d'office de la recourante depuis le 14 avril 2010, est arrêtée à 1'800 fr., TVA comprise,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