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ZD10.007063 vom 20. Oktober 2011</w:t>
      </w:r>
    </w:p>
    <w:p>
      <w:r>
        <w:t>VD Tribunal cantonal, 2011-10-20, FR</w:t>
      </w:r>
    </w:p>
    <w:p>
      <w:r>
        <w:rPr>
          <w:b/>
        </w:rPr>
        <w:t xml:space="preserve">Quelle: </w:t>
      </w:r>
      <w:r>
        <w:t>https://mcp.opencaselaw.ch/entscheid/vd_gerichte_ZD10.007063</w:t>
      </w:r>
    </w:p>
    <w:p>
      <w:r>
        <w:t>FR: VD_GERICHTE ZD10.007063 du 20 octobre 2011</w:t>
      </w:r>
    </w:p>
    <w:p>
      <w:r>
        <w:t>IT: VD_GERICHTE ZD10.007063 del 20 ottobre 2011</w:t>
      </w:r>
    </w:p>
    <w:p>
      <w:pPr>
        <w:pStyle w:val="Heading2"/>
      </w:pPr>
      <w:r>
        <w:t>Erwägungen</w:t>
      </w:r>
    </w:p>
    <w:p>
      <w:r>
        <w:rPr>
          <w:b/>
        </w:rPr>
        <w:t>E. 1</w:t>
      </w:r>
    </w:p>
    <w:p>
      <w:r>
        <w:t>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w:t>
      </w:r>
    </w:p>
    <w:p>
      <w:r>
        <w:t>- 9 -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2008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al. 1 let. a LPA-VD). c) Interjeté en temps utile (art. 60 al. 1 LPGA) auprès du tribunal compétent et satisfaisant aux autres conditions de forme prévues par la loi (art. 61 let. b LPGA), le recours est recevable.</w:t>
      </w:r>
    </w:p>
    <w:p>
      <w:r>
        <w:rPr>
          <w:b/>
        </w:rPr>
        <w:t>E. 2</w:t>
      </w:r>
    </w:p>
    <w:p>
      <w:r>
        <w:t>Le litige porte sur le droit du recourant à des prestations de l'assurance-invalidité. Celui-ci affirme avoir droit à une rente entière, son état de santé ne lui permettant plus de travailler. Quant à l'intimé, il soutient que le recourant ne présente aucune atteinte à la santé invalidante, et que dès lors, sa capacité de travail est entière et ne lui donne aucun droit à des prestations de l'assurance-invalidité.</w:t>
      </w:r>
    </w:p>
    <w:p>
      <w:r>
        <w:rPr>
          <w:b/>
        </w:rPr>
        <w:t>E. 3</w:t>
      </w:r>
    </w:p>
    <w:p>
      <w:r>
        <w:t>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- 10 - Selon l'art. 28 LAI, l'assuré a droit à une rente s'il a présenté une incapacité de travail d'au moins 40% en moyenne durant une année sans interruption notable et que, au terme de cette année, il est invalide à 40% au moins. Le droit à la rente prend naissance au plus tôt à l'échéance d'une période de six mois à compter de la date à laquelle l'assuré a fait valoir son droit aux prestations (art. 29 al. 1 LAI).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Parmi les atteintes à la santé psychique qui peuvent provoquer une invalidité, il faut mentionner — outre les maladies mentales proprement dites — les anomalies psychiques qui équivalent à des maladies. Pour déterminer si une atteinte à la santé psychique entraîne une invalidité, il faut établir si et dans quelle mesure un assuré peut, malgré une atteinte à sa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Dans les cas de troubles somatoformes douloureux, il existe une présomption selon laquelle cette atteinte à la santé ou ses effets peuvent être surmontés par un effort de volonté raisonnablement exigible (ATF 132 V 65, consid. 4.2.1 ; TF 9C_547/2008 du 19 juin 2009, consid.</w:t>
      </w:r>
    </w:p>
    <w:p>
      <w:r>
        <w:t>- 11 - 2.2).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Internationale Klassification psychischer Störungen, lCD-10 Kapitel V,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 TF 9C_310/2008 du 12 février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w:t>
      </w:r>
    </w:p>
    <w:p>
      <w:r>
        <w:t>- 12 -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 TF 9C_547/2008 du 19 juin 2009, consid. 2.2). c)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Par ailleurs, une expertise psychiatrique est en principe nécessaire quand il s'agit de se prononcer sur l'incapacité de travail que les troubles somatoformes douloureux sont susceptibles d'entraîner (ATF 130 V 353, consid. 2.2.2 et 399, consid. 5.3.2 ; 132 V 65).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w:t>
      </w:r>
    </w:p>
    <w:p>
      <w:r>
        <w:t>- 13 - (ATF 126 V 353, consid. 5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rPr>
          <w:b/>
        </w:rPr>
        <w:t>E. 4</w:t>
      </w:r>
    </w:p>
    <w:p>
      <w:r>
        <w:t>a) En l'espèce, dans son formulaire de détection précoce adressé le 7 avril 2009 à l'OAI, la Permanence psychiatrique ambulatoire de J.________ indique que le recourant se trouve en totale incapacité de travail depuis fin 2006 pour cause de dépression et de trouble douloureux somatoforme persistant. De même, le 12 juin 2009, le Dr L.________ diagnostique un état anxieux chez une personnalité limite et retient une incapacité de travail totale dans l'activité habituelle de serveur du recourant. Il indique que celui-ci présente un état anxieux sévère et de panique à évolution lente depuis quelques années et qu'il est connu pour une dépendance au jeu, sa situation étant grave. Il précise qu'il rentre rapidement en conflit avec ses collègues et sa hiérarchie en raison d'angoisses qui peuvent se manifester par des plaintes somatiques graves. Le 22 septembre 2009, le Dr C.________ diagnostique notamment un épisode dépressif moyen sans syndrome somatique et un trouble somatoforme persistant. Il précise que le tableau clinique actuel est</w:t>
      </w:r>
    </w:p>
    <w:p>
      <w:r>
        <w:t>- 14 - caractérisé par des douleurs du côté gauche avec des paresthésies et une perte de force, des troubles du sommeil et de la concentration, des maux de tête, une perte de poids, des angoisses pendant la journée et un état de tension permanent avec des accès de colère contrôlés avec difficulté. Le Dr C.________ est également d'avis que les troubles constatés entraînent une incapacité de travail. Le Dr S.________ estime au contraire le 30 novembre 2009 que ni le trouble somatoforme douloureux, ni l'épisode dépressif moyen n'entraînent d'incapacité de travail. Or le Dr S.________ n'est pas spécialiste en psychiatrie et n'a pas procédé à un examen clinique du recourant. L'intimé ne pouvait dès lors se fonder sur ce seul rapport médical pour rejeter la demande. Devant les avis contradictoires des médecins, dont aucun n'a valeur probante, dès lors qu'ils ne sont pas suffisamment documentés, il lui appartenait de compléter l'instruction en faisant procéder à une expertise. En l'état, il n'est donc pas possible à la Cour de céans de statuer en connaissance de cause.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 cf. ATF 137 V 210, consid. 4.4.1.4), ou si un renvoi apparaît disproportionné dans le cas particulier (ATF 9C_162/2007 du 3 avril 2008, consid. 2.3). A l'inverse, le renvoi à l'assureur apparaît en général justifié si celui-ci a constaté les faits de façon sommaire, dans l'idée que le</w:t>
      </w:r>
    </w:p>
    <w:p>
      <w:r>
        <w:t>- 15 - tribunal les éclaircirait comme il convient en cas de recours (DTA 2001 n° 22 p. 170, consid. 2). Au vu des circonstances du cas d'espèce, il apparaît justifié de renoncer à ordonner une expertise judiciaire et de renvoyer le dossier à l'OAI pour complément d'instruction sous la forme d'une expertise psychiatrique, voire pluridisciplinaire, compte tenu des affections somatiques dont fait état le Dr C.________ et également notamment le Dr R.________ dans son rapport du 14 août 2008, ainsi que les médecins de la clinique P.________ dans leur rapport du 9 février 2009.</w:t>
      </w:r>
    </w:p>
    <w:p>
      <w:r>
        <w:rPr>
          <w:b/>
        </w:rPr>
        <w:t>E. 5</w:t>
      </w:r>
    </w:p>
    <w:p>
      <w:r>
        <w:t>a) En définitive, le recours doit être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 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Le recourant, qui a procédé seul, n'a pas droit à des dépens (art. 55 al. 1 LPA-VD ;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