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ZD10.006376 vom 12. Juli 2011</w:t>
      </w:r>
    </w:p>
    <w:p>
      <w:r>
        <w:t>VD Tribunal cantonal, 2011-07-12, FR</w:t>
      </w:r>
    </w:p>
    <w:p>
      <w:r>
        <w:rPr>
          <w:b/>
        </w:rPr>
        <w:t xml:space="preserve">Quelle: </w:t>
      </w:r>
      <w:r>
        <w:t>https://mcp.opencaselaw.ch/entscheid/vd_gerichte_ZD10.006376</w:t>
      </w:r>
    </w:p>
    <w:p>
      <w:r>
        <w:t>FR: VD_GERICHTE ZD10.006376 du 12 juillet 2011</w:t>
      </w:r>
    </w:p>
    <w:p>
      <w:r>
        <w:t>IT: VD_GERICHTE ZD10.006376 del 12 luglio 2011</w:t>
      </w:r>
    </w:p>
    <w:p>
      <w:pPr>
        <w:pStyle w:val="Heading2"/>
      </w:pPr>
      <w:r>
        <w:t>Erwägungen</w:t>
      </w:r>
    </w:p>
    <w:p>
      <w:r>
        <w:rPr>
          <w:b/>
        </w:rPr>
        <w:t>E. 4</w:t>
      </w:r>
    </w:p>
    <w:p>
      <w:r>
        <w:t>a) Selon la jurisprudence, le bien-fondé d'une décision d'octroi, à titre rétroactif, d'une rente limitée dans le temps, doit être examinée à la lumière des conditions de révision du droit à la rente (ATF 125 V 413 consid. 2d et les références; TF 8C_104/2009 du 14 décembre 2009, consid. 2 et 9C_391/2008 du 12 mars 2009, consid. 2.2). Aux termes de l'art. 17 LPGA,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w:t>
      </w:r>
    </w:p>
    <w:p>
      <w:r>
        <w:t>- 25 - consid. 3.5, 113 V 273 consid. 1a et 112 V 371 consid. 2b). Il n'y a pas matière à révision lorsque les circonstances sont demeurées inchangées et que le motif de la suppression ou de la diminution de la rente réside uniquement dans une nouvelle appréciation du cas (TFA I 8/2004 du 12 octobre 2005 consid. 2.1), respectivement une appréciation différente d'un même état de fait (TFA I 419/2003 du 22 octobre 2003 consid. 4). Un motif de révision au sens de l'art. 17 LPGA (ou de l'ancien art. 41 LAI) doit clairement ressortir du dossier (TFA I 559/2002 du 31 janvier 2003, consid. 3.2 et les arrêts cités). La réglementation sur la révision ne saurait en effet constituer un fondement juridique à un réexamen sans condition du droit à la rente (TF I 111/2007 du 17 décembre 2007 et les références citées). L'assurance-invalidité connaissant un système de rentes échelonnées (cf. consid. 3b supra), la révision ne se justifie que lorsque le degré d'invalidité franchit un taux déterminant (ATF 133 V 545 consid. 6.2 à 7). En principe, l'adaptation des prestations d'assurance sociales a lieu avec effet rétroactif (ex tunc). L'assurance-invalidité connaît cependant une réglementation différente lorsque la modification de la prestation a lieu en raison de questions spécifiques au droit de l'assurance-invalidité (ATF 119 V 431 consid. 2 et les références; TF I 528/2006 du 3 août 2007, consid. 7.2). Dans ces cas, la modification de la prestation d'assurance intervient en principe avec effet ex nunc et pro futuro (art. 85 al. 2 RAI [règlement du 17 janvier 1961 sur l'assurance- 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RAI). b) En l'espèce, on constate qu'à partir du mois d'août 2008 en l'absence d'incapacité de travail (cf. consid. 3e/ee supra), le taux</w:t>
      </w:r>
    </w:p>
    <w:p>
      <w:r>
        <w:t>- 26 - d'invalidité de la recourante étant inférieur au seuil minimum de 40% (art. 28 al. 1 LAI dans sa teneur en vigueur jusqu'au 31 décembre 2003, puis dans celle consécutive à la 4e révision de l'AI) et qu'il n'existait alors plus aucun droit à la rente. Conformément à l'art. 88a al. 1 RAI, la suppression du droit aux prestations devait intervenir trois mois après l'amélioration de la capacité de gain déterminante, soit en l'espèce dès la date du 1er novembre 2008. La décision rendue le 25 janvier 2010 par l'OAI s'avère donc correcte dès lors que l'invalidité de la recourante s'est effectivement modifiée de manière à justifier la suppression du droit à la rente entière au-delà du 31 octobre 2008.</w:t>
      </w:r>
    </w:p>
    <w:p>
      <w:r>
        <w:rPr>
          <w:b/>
        </w:rPr>
        <w:t>E. 5</w:t>
      </w:r>
    </w:p>
    <w:p>
      <w:r>
        <w:t>a) En définitive mal fondé, le recours doit être rejeté et la décision attaquée confirmée. b) La procédure est onéreuse; en principe la partie dont les conclusions sont rejetées supporte les frais de procédure (art. 69 al. 1bis LAI et 49 al. 1 LPA-VD, applicable par renvoi des art. 91 et 99 LPA-VD). Le recourant a toutefois été mis au bénéfice de l'assistance judiciaire, de sorte que les frais judiciaires, ainsi qu'une équitable indemnité au conseil juridique désigné d'office pour la procédure, sont supportés par le canton, provisoirement (art. 122 al. 1 let. a et b CPC, applicable par renvoi de l'art. 18 al. 5 LPA-VD).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depuis le début de la procédure. En l’occurrence, les frais judiciaires par 400 fr. sont provisoirement laissés à la charge de l'Etat. L'indemnité d'office de Me Franck-Olivier Karlen, conseil d'office de la recourante selon décision du 3 mars 2010 du Bureau de l'assistance judiciaire est arrêtée à 2'500 fr. TVA</w:t>
      </w:r>
    </w:p>
    <w:p>
      <w:r>
        <w:t>- 27 - comprise pour l'ensemble de son activité déployée dans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