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ZD10.005558 vom 3. Februar 2012</w:t>
      </w:r>
    </w:p>
    <w:p>
      <w:r>
        <w:t>VD Tribunal cantonal, 2012-02-03, FR</w:t>
      </w:r>
    </w:p>
    <w:p>
      <w:r>
        <w:rPr>
          <w:b/>
        </w:rPr>
        <w:t xml:space="preserve">Quelle: </w:t>
      </w:r>
      <w:r>
        <w:t>https://mcp.opencaselaw.ch/entscheid/vd_gerichte_ZD10.005558</w:t>
      </w:r>
    </w:p>
    <w:p>
      <w:r>
        <w:t>FR: VD_GERICHTE ZD10.005558 du 3 février 2012</w:t>
      </w:r>
    </w:p>
    <w:p>
      <w:r>
        <w:t>IT: VD_GERICHTE ZD10.005558 del 3 febbraio 2012</w:t>
      </w:r>
    </w:p>
    <w:p>
      <w:pPr>
        <w:pStyle w:val="Heading2"/>
      </w:pPr>
      <w:r>
        <w:t>Volltext</w:t>
      </w:r>
    </w:p>
    <w:p>
      <w:r>
        <w:t>TRIBUNAL CANTONAL AI 59/10 - 43/2012 ZD10.005558 CO UR DE S ASSURANCES S OCIALES _____________________________________________ Arrêt du 3 février 2012 __________________ Présidence de M. NEU Juges : M. Jomini et Mme Di Ferro Demierre Greffier : M. Simon ***** Cause pendante entre : L.________, à Lausanne, recourante, et OFFICE DE L'ASSURANCE-INVALIDITÉ POUR LE CANTON DE VAUD, à Vevey, intimé. _______________ Art. 8 al. 1 LPGA; art. 4 al. 1 et 28 al. 2 LAI 402</w:t>
      </w:r>
    </w:p>
    <w:p>
      <w:r>
        <w:t>- 2 - E n f a i t : A. L.________ (ci-après: l'assurée), née en 1956, sans formation et ayant travaillé en qualité de nettoyeuse auprès de [...] SA, a déposé le 27 juin 2005 une demande de prestations d'invalidité auprès de l'Office de l'assurance-invalidité pour le canton de Vaud (ci-après: l'OAI), tendant à l'octroi d'une rente, se prévalant de diabète et de dépression. Sur le plan économique, un extrait du compte individuel de l'assurée auprès de la caisse cantonale vaudoise de compensation AVS (ci- après: la CCVD) a été versé au dossier, mettant en évidence un revenu de 16'162 fr. en 2001 et de 9'744 fr. de janvier à août 2002, auprès de l'entreprise [...] SA. Dans un formulaire 531bis adressé par l'OAI et rempli le 16 août 2005, l'assurée a déclaré que, si elle était en bonne santé, elle travaillerait à 100% en qualité de nettoyeuse de bureaux, en raison de nécessité financière. Sur le plan médical, l'OAI s'est adressé au Dr O.________, spécialiste FMH en médecine interne à Lausanne et médecin traitant de l'assurée. Dans un rapport du 26 août 2005, ce médecin a posé les diagnostics d'importante limitation des facultés intellectuelles et d'état dépressif moyen et réactionnel; il a retenu une incapacité de travail de 100% en tant que femme de ménage de septembre 2002 au 31 août 2003, puis proposé un avis psychiatrique. Ce médecin a joint notamment les documents suivants: - Un rapport du 28 novembre 2002 du département universitaire de psychiatrie pour adultes (ci-après: le DUPA), posant les diagnostics d'épisode dépressif moyen et réactionnel et de trouble de la personnalité non spécifique, à traits dépendants et histrioniques. Il en ressort que l'assurée a été hospitalisée pendant une semaine suite à une crise d'agitation avec menaces suicidaires.</w:t>
      </w:r>
    </w:p>
    <w:p>
      <w:r>
        <w:t>- 3 - - Un rapport du 3 décembre 2002 du DUPA, posant les diagnostics d'état dépressif moyen et réactionnel ainsi que de probable intelligence limite, précisant que l'assurée vit dans une situation familiale et sociale très précaire. - Un rapport du 13 mai 2004 du Dr O.________, retenant que l'assurée présente un diabète de type II depuis 1998, insulino-requérant depuis janvier 2004, et renvoyant à une évaluation d'endocrinologie. Le 20 février 2006, l'OAI a procédé à une enquête économique sur le ménage. Il en ressort que l'assurée présente le statut de personne active à 100%, en raison de la nécessité financière du couple et de l'apport de l'aide sociale. Sur proposition du Service médical régional AI (ci-après: le SMR), un examen psychiatrique a été mis en œuvre, auprès du Dr C.________, psychiatre FMH au SMR. En date du 5 novembre 2007, ce spécialiste n'a retenu aucun diagnostic avec répercussion sur la capacité de travail et a retenu celui, sans incidence sur la capacité de travail, de dysthymie à début tardif. Il a retenu une capacité de travail exigible de 100% depuis toujours dans l'activité habituelle comme dans une activité adaptée. Il a relevé ce qui suit dans son appréciation du cas: "Assurée d’origine portugaise, âgée de 51 ans, en Suisse depuis 1987, ayant travaillé de 1992 à 2002 comme nettoyeuse, en incapacité de travail à 100% depuis 2002 dans le cadre d’un syndrome dépressif réactionnel aux diverses incarcérations de son fils aîné. Le médecin traitant de l’assurée, le Dr O.________, décrit un état dépressif fluctuant réactionnel à un marasme social et familial. L’examen clinique psychiatrique au SMR met en évidence une dépression chronique de l’humeur dont la sévérité est insuffisante pour justifier le diagnostic de trouble dépressif récurrent léger ou moyen. L’intensité modérée de cet état dépressif, sa fluctuation, les ruminations avec trouble du sommeil, la perte de confiance évoquent le diagnostic de dysthymie dans lequel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eux-mêmes mais ils restent</w:t>
      </w:r>
    </w:p>
    <w:p>
      <w:r>
        <w:t>- 4 - habituellement capables de faire face aux exigences élémentaires de la vie quotidienne, ce qui est le cas de notre assurée qui assume l’intégralité des charges domestiques de la vie familiale. La CIM-10 précise que les formes à début tardif surviennent habituellement à la suite d’un épisode dépressif isolé, souvent en rapport avec un deuil ou tout autre événement stressant manifeste, ce qui semble aussi être le cas de notre assurée puisque l’état dépressif est décrit par l’assurée et le médecin traitant comme réactionnel aux difficultés judiciaires de ses enfants. Pour ce qui concerne le diagnostic de trouble somatoforme douloureux persistant, l’assurée ne se plaint pas de douleurs de type polyalgie, l’examen ne retrouve pas de détresse psychoaffective et les critères de sévérité de la jurisprudence: l’intensité du tableau morbide est modérée, il n’y a pas de perte d’intégration sociale ni d’inefficacité des traitements puisqu’aucun traitement n’a été entrepris. En dehors de ce tableau de dysthymie, notre examen clinique psychiatrique n’a pas montré de signe de dépression majeure, de décompensation psychotique, d’anxiété généralisée, de trouble phobique, de trouble de personnalité morbide, de syndrome douloureux somatoforme persistant, de perturbation de l’environnement psychosocial ni de limitation fonctionnelle psychiatrique. Nous pouvons donc conclure que notre examen ne met pas en évidence de maladie psychiatrique ayant pour conséquence une atteinte à la capacité de travail de longue durée". Dans un rapport d'examen du SMR du 16 novembre 2007, se référant aux conclusions du Dr C.________, le Dr J.________ n'a retenu aucune atteinte à la santé et fixé la capacité de travail à 100% depuis toujours. Par décision du 18 janvier 2008, confirmant un préavis du 27 novembre 2007, l'OAI a refusé à l'assurée le droit à une rente, en raison d'une pleine capacité de travail et de gain dans toute activité lucrative. Le 2 septembre 2008, l'assurée a déposé une nouvelle demande de prestations d'invalidité auprès de l'OAI, tendant à l'octroi d'une rente, se prévalant de diabète, d'une affection psychique et d'une prothèse au genou droit suite à un accident survenu en mars 2008. Dans un rapport du 19 septembre 2008, les Drs R.________ et U.________, chef de clinique et médecin assistant à la policlinique médicale</w:t>
      </w:r>
    </w:p>
    <w:p>
      <w:r>
        <w:t>- 5 - universitaire de Lausanne (ci-après: la PMU), ont mentionné un suivi psychiatrique depuis décembre 2007 et constaté notamment des difficultés à gérer les choses courantes de la vie quotidienne, des réactions émotionnelles vives et un retard mental léger. Ils ont relevé que l'assurée nécessitait une prise en charge médicosociale complexe. Les documents suivants ont ensuite été versés au dossier: - Un rapport du 21 juillet 2008 de F.________, psychologue adjointe au département de psychiatrie du CHUV, retenant, sur le vu d'un QI de 51, que l'efficience intellectuelle de l'assurée est du niveau du retard mental léger. - Un rapport du 22 août 2008 du service d'endocrinologie, diabétologie et métabolisme du CHUV, posant les diagnostics de syndrome métabolique – avec diabète de type 2, hypertension artérielle, dislipidémie et obésité de classe I – ainsi que de trouble de l'humeur et de l'adaptation d'origine non précisée. - Un courrier du 5 novembre 2008 du département de psychiatrie du CHUV, évoquant un suivi au service d'endocrinologie et diabétologie du département de médecine du CHUV. Le cas a à nouveau été soumis au SMR, qui a relevé, dans un avis médical du 19 décembre 2008 du Dr J.________, qu'il n'y avait pas d'aggravation sur le plan psychiatrique, mais qu'il convenait d'instruire le volet somatique, en raison de la survenance d'un accident en mars 2008. Le 23 janvier 2009, [...] a informé l'OAI qu'il intervenait en qualité d'assureur RC du détenteur du véhicule impliqué dans un accident le 5 mars 2008 lors duquel l'assurée a été blessée. Cet assureur a remis notamment les documents suivants à l'OAI: - Un rapport du 14 juillet 2008 du Dr Z.________, chef de clinique au département de l'appareil locomoteur du CHUV, indiquant que</w:t>
      </w:r>
    </w:p>
    <w:p>
      <w:r>
        <w:t>- 6 - l'assurée a été renversée par une voiture en tant que piétonne et a subi une fracture du plateau tibial externe gauche, traitée chirurgicalement le 10 mars 2008. - Un rapport du 11 décembre 2008 du Dr Z.________, posant le diagnostic de fracture du plateau tibial externe gauche par compression- séparation. Il a retenu des risques d'arthrose post-traumatique du genou gauche dans le cadre d'une fracture intra-articulaire. - Un certificat médical du 13 octobre 2008 de la PMU, attestant une incapacité de travail de 100% du 1er au 31 octobre 2008. Un constat d'accident et un rapport de la police municipale de Lausanne ont été versés au dossier. Il en ressort en particulier que l'assurée a porté plainte pour lésions corporelles contre le conducteur qui l'avait renversée le 5 mars 2008. Sur proposition du SMR, l'assurée a été soumise à un examen clinique orthopédique et psychiatrique, effectué le 31 août 2009 par les Drs D.________, spécialiste FMH en chirurgie orthopédique et traumatologie au SMR, et C.________. Dans leur rapport du 14 septembre 2009, ces médecins ont posé les diagnostics de gonarthrose primaire prédominante du compartiment interne et de séquelles d'une fracture intra articulaire du plateau tibial externe du genou gauche. Ils ont retenu une capacité de travail de 100% dans une activité adaptée depuis le 5 juin 2008 et ont exposé notamment ce qui suit dans leur appréciation du cas: "L’examen clinique psychiatrique au SMR met en évidence une dépression chronique de l’humeur dont la sévérité est insuffisante pour justifier le diagnostic de trouble dépressif récurrent léger ou moyen. L’intensité modérée de cet état dépressif, sa fluctuation, les ruminations avec trouble du sommeil, la perte de confiance évoquent le diagnostic de dysthymie dans lequel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 mêmes mais ils restent habituellement capables de faire face aux exigences élémentaires</w:t>
      </w:r>
    </w:p>
    <w:p>
      <w:r>
        <w:t>- 7 - de la vie quotidienne, ce qui est le cas de notre assurée qui assume l’intégralité des charges domestiques de la vie familiale. La CIM-10 précise que les formes à début tardif surviennent habituellement à la suite d’un épisode dépressif isolé, souvent en rapport avec un deuil ou tout autre événement stressant manifeste, ce qui semble aussi être le cas de notre assurée puisque l’état dépressif est décrit par l’assurée et le médecin traitant comme réactionnel aux difficultés judiciaires de ses enfants. Pour ce qui concerne le diagnostic de trouble somatoforme douloureux persistant, l’assurée ne se plaint pas de douleurs de type polyalgie, l’examen ne retrouve pas de détresse psychoaffective et les critères de sévérité de la jurisprudence: l’intensité du tableau morbide est modérée, il n’y a pas de perte d’intégration sociale ni d’inefficacité des traitements puisque le traitement entrepris à la PMU semble permettre une amélioration du tableau symptomatique. En dehors de ce tableau de dysthymie, notre examen clinique psychiatrique n’a pas montré de signe de dépression majeure, de décompensation psychotique, d’anxiété généralisée, de trouble phobique, de trouble de personnalité morbide, de syndrome douloureux somatoforme persistant, de perturbation de l’environnement psychosocial ni de limitation fonctionnelle psychiatrique. Nous pouvons donc conclure que notre examen ne met pas en évidence de maladie psychiatrique ayant pour conséquence une atteinte à la capacité de travail de longue durée. Il est à noter que l’attestation médicale [du 19 Septembre 2005 de la PMU] ne comporte aucun critère CIM-10 d’évaluation médicale pouvant permettre de préciser un diagnostic psychiatrique incapacitant ou bien une aggravation par rapport à l’examen SMR d’octobre 2007; de plus le traitement psychiatrique n’est pas précisé non plus […]. Sur le plan somatique, en mars 2008, elle a eu une fracture intra articulaire du genou G qui a bénéficié d’un traitement chirurgical. Les suites opératoires furent simples. L’assurée garde des séquelles douloureuses. Comme toutes les fractures intra articulaires, il existe un gros risque de développer une gonarthrose secondaire. L’obésité de l’assurée favorise le développement de cette arthrose. Les premières radiographies montrent déjà une gonarthrose primaire interne débutante. Les limitations fonctionnelles L’assurée peut exercer un travail sédentaire ou semi-sédentaire sans port de charge supérieur à 10 kilos, doit éviter les travaux accroupis ou à genoux. Doit éviter de monter ou descendre les escaliers à répétition. De courts déplacements à plat sont possibles. Aucune limitation sur le plan psychiatrique. […]</w:t>
      </w:r>
    </w:p>
    <w:p>
      <w:r>
        <w:t>- 8 - Suite à son accident de mars 2008, l’assurée a perdu sa capacité de travail en tant que femme de ménage et nettoyeuse. Un arrêt de travail dans toute activité de trois mois après l’intervention chirurgicale est admissible. A partir du mois de juin 2008, l’assurée récupère sa pleine capacité de travail dans un travail adapté aux limitations fonctionnelles". Dans un rapport médical du 8 octobre 2009, sous la plume du Dr J.________, se référant au rapport d'examen précité, le SMR a retenu l'atteinte principale de gonarthrose gauche primaire prédominant au compartiment interne et de status après fracture intra articulaire du plateau tibial externe du genou gauche. Une capacité de travail exigible de 100% dans une activité adaptée a été retenue dès le 6 juin 2008, ainsi que les limitations fonctionnelles suivantes: port de charges au-delà de 10kg, accroupissement et position à genoux, monter-descendre les escaliers à répétition, marche prolongée ou en terrain irrégulier. Dans un préavis du 10 novembre 2009, l'OAI a informé l'assurée de son intention de lui refuser le droit à la rente. Sur la base des avis médicaux du SMR, il a retenu que l'assurée présentait une pleine capacité de travail dans toute activité adaptée 3 mois après l'accident survenu le 5 mars 2008. Sur la base d'un salaire sans invalidité de 46'190 fr. dans l'hôtellerie et la restauration selon l'enquête suisse sur la structure des salaires (ci-après: l'ESS) et d'un revenu d'invalide de 44'916 fr. 90 – dans une activité simple et répétitive dans le secteur privé en 2009 selon l'ESS, en tenant compte d'un abattement de 15% – l'OAI a mis en évidence un degré d'invalidité de 2.75%. Le 10 novembre 2009 également, l'OAI a reconnu le droit de l'assurée à des mesures de placement (orientation professionnelle et recherches d'emploi). Le 23 novembre 2009, l'assurée a contesté le préavis du 10 novembre 2009, expliquant que ses problèmes de santé n'avaient pas tous été pris en compte.</w:t>
      </w:r>
    </w:p>
    <w:p>
      <w:r>
        <w:t>- 9 - Par décision du 21 janvier 2010, l'OAI a refusé à l'assurée le droit à la rente, sur la base d'un degré d'invalidité de 2.75%, en se référant aux mêmes motifs que ceux exposés dans son préavis du 10 novembre 2009. B. Par acte du 16 février 2010, L.________ fait recours au Tribunal cantonal contre cette décision et conclut implicitement à l'octroi d'une rente d'invalidité. Elle expose que son état de santé ne lui permet pas de travailler – à tout le moins dans son activité de nettoyeuse – et que, compte tenu de son âge et d'une faible maîtrise du français, il lui est difficile de trouver du travail. Elle se prévaut en outre de son diabète, qui la rend très faible, et des circonstances liées à l'accident qu'elle a subi le 5 mars 2008. Dans sa réponse du 25 mars 2010, l'OAI conclut au rejet du recours, se référant à ses précédentes écritures et précisant que la situation médicale a fait l'objet d'un examen approfondi par le SMR, qui a tenu compte de l'ensemble des atteintes à la santé de l'intéressée.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w:t>
      </w:r>
    </w:p>
    <w:p>
      <w:r>
        <w:t>- 10 -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w:t>
      </w:r>
    </w:p>
    <w:p>
      <w:r>
        <w:t>- 11 -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6; TF I 81/07 du 8 janvier 2008 consid. 3.2; TF I 87/06 du 31 janvier 2007 consid. 3.3).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- 12 - bien son contenu (ATF 125 V 351 consid. 3a et les références citées;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TFA I 554/01 du 19 avril 2002 consid. 2a). Ce principe est aussi valable s'agissant de l'appréciation émise par un psychiatre traitant (TF I 50/06 du 17 janvier 2007 consid. 9.4). c)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3. a) Dans le cas présent, par décision du 18 janvier 2008, l'OAI a refusé à l'assurée le droit à la rente, estimant qu'elle disposait d'une</w:t>
      </w:r>
    </w:p>
    <w:p>
      <w:r>
        <w:t>- 13 - pleine capacité de travail et de gain dans toute activité lucrative. L'OAI s'était alors fondé sur un examen effectué par le Dr C.________, qui n'avait retenu aucun diagnostic sur le plan psychiatrique dans un rapport du 5 novembre 2007. Le 2 septembre 2008, l'assurée a déposé une nouvelle demande de prestations tendant à l'octroi d'une rente. Il convient dès lors d'examiner s'il y a eu, par rapport à la situation qui se présentait au moment de la décision du 18 janvier 2008, un changement des circonstances propre à justifier une modification du droit à la rente. b) L'assurée a fait l'objet d'un examen clinique orthopédique et psychiatrique au SMR, à la suite duquel les Drs D.________ et C.________, dans leur rapport du 14 septembre 2009, ont posé les diagnostics de gonarthrose primaire prédominante du compartiment interne et de séquelles d'une fracture intra articulaire du plateau tibial externe du genou gauche, sans retenir de diagnostic sur le plan psychique. Ces médecins ont retenu une capacité de travail de 100% dans une activité adaptée depuis le 5 juin 2008. Sur le plan somatique, ce rapport d’examen du SMR intègre une anamnèse détaillée et rend compte d’une analyse complète du cas de l’assurée, en particulier le suivi médical consécutif à l’accident survenu le 5 mars 2008. Les diagnostics posés, les limitations fonctionnelles retenues et l’appréciation médicale rendue sont dûment motivés, sans qu’aucune autre expertise médicale n’en contredise les conclusions. Répondant ainsi aux critères posés par la jurisprudence pour se voir reconnaître une pleine valeur probante, le rapport du SMR convainc. L’obésité, l’hypertension artérielle et le diabète de type Il étant sans incidence sur la capacité de travail, on retiendra donc qu’après une période d’incapacité de travail totale de trois mois consécutive au traitement chirurgical de son accident, l’assurée a recouvré une pleine capacité de travail dès juin 2008. Sur le plan psychique, le rapport d’expertise du SMR, sous la plume du Dr C.________, convainc tout autant. L’assurée n’allègue du reste aucun suivi psychiatrique, et les observations émises en septembre 2008 par les psychiatres R.________ et U.________ de la PMU ne fondent en</w:t>
      </w:r>
    </w:p>
    <w:p>
      <w:r>
        <w:t>- 14 - définitive aucun diagnostic clair. Ainsi, on retiendra avec le SMR que l’assurée ne présente pas de diagnostic avec répercussion sur sa capacité de travail dès lors qu’elle souffre certes d’une dépression chronique de l’humeur, mais sans que celle-ci atteigne un degré de sévérité qui puisse justifier le diagnostic de trouble dépressif récurrent. Il n'y a donc pas d'aggravation de l'état de santé au sens de l'art. 17 LPGA. 4. a) Sur le plan économique, la recourante se borne à invoquer de graves difficultés à retrouver du travail, compte tenu de son état de santé et de sa situation personnelle. Selon la jurisprudence, le marché du travail est réputé offrir un éventail suffisamment large d'activités légères, dont on doit convenir qu'un nombre significatif sont adaptées aux limitations fonctionnelles de la recourante (soit pas de port de charges supérieur à 10 kilos, de travaux accroupis ou à genoux ni de montée ou descente d'escaliers à répétition, de courts déplacements à plat étant possibles) et accessibles sans aucune formation particulière (TF 9C_1066/2009 du 22 septembre 2010 consid. 4.2; TF 9C_393/2008 du 27 janvier 2009 consid. 3.5; TF 9C_361/2008 du 9 février 2009 consid. 6.1). A cela s'ajoute que la mauvaise maîtrise de la langue française ne justifie pas de prise en charge par l'assurance-invalidité (TF I 797/06 du 21 août 2007 consid. 4; TF 9C_45/2007 du 25 septembre 2007 consid. 5.2.1). Enfin, l'assurée, née en 1956, n'avait pas atteint l'âge à partir duquel ce facteur justifie de procéder à une approche concrète particulière du cas (TF 9C_104/2008 du 15 octobre 2008 consid. 4 et les références citées; TF 9C_355/2011 du 8 novembre 2011 consid. 4.4). En conséquence, l'assurée doit être reconnue capable d'exercer une activité adaptée à plein temps. b) La comparaison entre le revenu sans invalidité – qu'il soit déterminé selon l'ESS, comme retenu par l'OAI, ou selon l'extrait du compte individuel de l'assurée auprès de la CCVD – et celui, avec invalidité, qu'elle pourrait prétendre dans une activité simple et répétitive</w:t>
      </w:r>
    </w:p>
    <w:p>
      <w:r>
        <w:t>- 15 - dans le secteur privé selon l'ESS, conduit, comme retenu dans la décision attaquée, à un degré d'invalidité inférieur à 40%, excluant le droit à une rente d'invalidité (art. 28 al. 2 LAI a contrario). Il en va de même si l'on tient compte d'un abattement maximum de 25% du revenu d'invalide, solution la plus favorable à l'assurée (ATF 126 V 75 consid. 5b/aa-cc; TF 9C_673/2010 du 31 mars 2011 consid. 4.1), alors que l'OAI a retenu un taux de 15%. 5. Partant, fondée, la décision litigieuse doit être confirmée, ce qui conduit au rejet du recours, rejet qui n'exclut pas que la recourante puisse le cas échéant requérir la révision de son droit aux prestations d'invalidité, en cas de péjoration de son état de santé médicalement attestée.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 r o n o n c e : I. Le recours est rejeté. II. La décision rendue le 21 janvier 2010 par l'Office de l'assurance-invalidité pour le canton de Vaud est confirmée.</w:t>
      </w:r>
    </w:p>
    <w:p>
      <w:r>
        <w:t>- 16 - III. Un émolument judiciaire de 400 fr. (quatre cents francs) est mis à la charge de la recourante L.________. IV. Il n'est pas alloué de dépens. Le président : Le greffier : Du L'arrêt qui précède, dont la rédaction a été approuvée à huis clos,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