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ZD10.005337 vom 6. Oktober 2011</w:t>
      </w:r>
    </w:p>
    <w:p>
      <w:r>
        <w:t>VD Tribunal cantonal, 2011-10-06, FR</w:t>
      </w:r>
    </w:p>
    <w:p>
      <w:r>
        <w:rPr>
          <w:b/>
        </w:rPr>
        <w:t xml:space="preserve">Quelle: </w:t>
      </w:r>
      <w:r>
        <w:t>https://mcp.opencaselaw.ch/entscheid/vd_gerichte_ZD10.005337</w:t>
      </w:r>
    </w:p>
    <w:p>
      <w:r>
        <w:t>FR: VD_GERICHTE ZD10.005337 du 6 octobre 2011</w:t>
      </w:r>
    </w:p>
    <w:p>
      <w:r>
        <w:t>IT: VD_GERICHTE ZD10.005337 del 6 ottobre 2011</w:t>
      </w:r>
    </w:p>
    <w:p>
      <w:pPr>
        <w:pStyle w:val="Heading2"/>
      </w:pPr>
      <w:r>
        <w:t>Erwägungen</w:t>
      </w:r>
    </w:p>
    <w:p>
      <w:r>
        <w:rPr>
          <w:b/>
        </w:rPr>
        <w:t>E. 4</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al. 2 LAI).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w:t>
      </w:r>
    </w:p>
    <w:p>
      <w:r>
        <w:t>- 20 - 9C_519/2008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TFA I 274/2005 du 21 mars 2006, consid. 1.2; TF I 562/2006 du 25 juillet 2007, consid. 2.1).</w:t>
      </w:r>
    </w:p>
    <w:p>
      <w:r>
        <w:rPr>
          <w:b/>
        </w:rPr>
        <w:t>E. 5</w:t>
      </w:r>
    </w:p>
    <w:p>
      <w:r>
        <w:t>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w:t>
      </w:r>
    </w:p>
    <w:p>
      <w:r>
        <w:t>- 21 -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w:t>
      </w:r>
    </w:p>
    <w:p>
      <w:r>
        <w:rPr>
          <w:b/>
        </w:rPr>
        <w:t>E. 6</w:t>
      </w:r>
    </w:p>
    <w:p>
      <w:r>
        <w:t>a) En l’espèce, sur le plan psychiatrique, se référant à son opposition, la recourante soutient que le rapport d’expertise ne prend pas en compte le fait que, en relation avec ses plaintes, elle pourrait présenter un état dépressif justifiant également l’octroi d’une rente d’invalidité, celle-ci devant prendre une médication importante, soit en particulier des anti-douleurs, des anti-dépresseurs et des somnifères. Il n’y a aucun rapport médical au dossier émanant de spécialistes indiquant que la recourante souffrirait d’un problème psychique. L’expert A.__________ mentionne d’ailleurs s’être entretenu avec le médecin traitant de la recourante, le Dr F.________, qui lui a mentionné prescrire du Panadol à la recourante. Il n’est dès lors pas établi que la recourante souffre d’une affection sur le plan psychique. b) Sur le plan somatique, l’expert diagnostique un status après luxation postérieure de la hanche droite, un status après fracture de Maisonneuve au membre inférieur droit, une fracture non diagnostiquée au début de la malléole interne droite, des fractures de côtes multiples et un status après algoneurodystrophie du membre inférieur droit. Ces diagnostics sont les mêmes que ceux posés par les autres médecins. L’expert a en outre expliqué que le syndrome d'étirement du nerf</w:t>
      </w:r>
    </w:p>
    <w:p>
      <w:r>
        <w:t>- 22 - sciatique a été évoqué par le Dr P.________, mais qu'il n'y a aucun document électroneuromyographique prouvant cette neuropathie du sciatique. Sur le plan objectif, l’expert n’a pas constaté de trouble neurologique particulier au membre inférieur droit, sauf peut-être encore une légère insuffisance des moyens fessiers droits, pas de contracture importante de la région lombaire en position debout, ni de pathologie importante au niveau du rachis lombaire. Sur toutes les radiographies qu’il a fait faire, il n’y a aucune image évoquant une fracture de vertèbre. En outre, il n’y a pas de séquelle ostéo-articulaire au niveau de la hanche droite. Le genou a une fonction physiologique et la cheville droite présente un léger défaut de 10° pour l’extension dorsale alors que la flexion plantaire est symétrique par rapport à gauche. L’expert observe dès lors une discordance entre les plaintes subjectives de la recourante et ses constatations cliniques et radiologiques. Tenant compte des plaintes de la recourante, il a estimé sa capacité de travail nulle dans son activité de femme de chambre et de 50 % dans une activité adaptée. Il a en outre ajouté que compte tenu du temps pendant lequel la recourante n’avait pas travaillé, il lui paraissait difficilement envisageable qu’elle puisse travailler à nouveau. Il a en outre précisé dans son premier rapport qu’il n’avait pas tenu compte du rapport du détective privé parce qu’il ne s’agissait pas d’un document médical. Dans son complément d’expertise, où il a alors tenu compte de l’enquête du détective, il a constaté en visionnant notamment le DVD que la recourante marchait pratiquement sans boiter et sans canne, tirant une petite charrette de commissions laquelle n’apparaissait pas la gêner pour marcher. Il n’a constaté qu’une très légère boiterie du membre inférieur droit lorsqu’elle descendait une rue en pente. Il a également constaté que lorsqu’elle était au marché, la recourante marchait sans aucune gêne apparente ne se tenant jamais la hanche droite avec sa main, n’ayant jamais de canne, se penchant en avant sans problème pour ramasser des objets par terre. La recourante n’éprouvait donc pas la gêne telle que montrée à l’expert lorsqu’elle s’est présentée devant lui le 25 janvier 2008</w:t>
      </w:r>
    </w:p>
    <w:p>
      <w:r>
        <w:t>- 23 - marchant alors en boitant du membre inférieur droit, tenant sa main sur sa crête iliaque droite et avec le genou droit raide. Compte tenu de ces nouveaux éléments, lesquels confirment la première appréciation de l’expert concernant la discrépance entre les plaintes de la recourante et les éléments objectifs constatés, celui-ci relève que le handicap de la patiente est très nettement moins important que ce qu’elle voulait bien dire. Il estime dès lors que la capacité de travail dans l’activité de femme de chambre, est de 50 %. Dans une activité adaptée, il lui paraît, compte tenu de ses constatations actuelles, que la capacité de travail de la recourante doit être considérée comme entière. La modification des conclusions de l’expert est ainsi due à sa prise en compte, dans son complément d’expertise, de la documentation du détective. Il n’y a ainsi pas de contradiction entre l’expertise et son complément, contrairement à ce que soutient la recourante. En outre, dans son appréciation de la capacité de travail, l’expert s’est fondé sur des éléments objectifs, comme il a fonction de le faire, sans prendre en compte des éléments d’ordre social, telle la difficulté pour la recourante de retravailler après une longue période d’inactivité ou sa formation scolaire restreinte, circonstances qui ne relèvent pas de l’Al. Quant à l’obésité de la recourante, l’expert l’a constatée en page 12 de l’expertise retenant une obésité de premier degré. Or l’obésité constatée, en tant que telle, n’est pas prise en compte par l’Al. Enfin, l’expert, spécialiste en orthopédie, a expliqué les motifs pour lesquels la canne doit être tenue de la main gauche et non pas de la main droite. En définitive, l’expertise relate les plaintes de la recourante et comprend une anamnèse. Elle procède d’une étude approfondie du cas de la recourante. Elle ne comporte pas de contradictions et ses conclusions sont claires et bien motivées. Elle n’est mise en doute par aucun rapport médical émanant d’un spécialiste. Elle répond ainsi aux réquisits de la jurisprudence et a donc valeur probante (cf. consid. 5 supra).</w:t>
      </w:r>
    </w:p>
    <w:p>
      <w:r>
        <w:t>- 24 - Force est dès lors d’admettre que l’état de santé de la recourante s’est nettement amélioré et que sa capacité de travail dans une activité adaptée est complète.</w:t>
      </w:r>
    </w:p>
    <w:p>
      <w:r>
        <w:rPr>
          <w:b/>
        </w:rPr>
        <w:t>E. 7</w:t>
      </w:r>
    </w:p>
    <w:p>
      <w:r>
        <w:t>Quant au calcul du taux d’invalidité tel qu'effectué par l’intimé, il n’est pas critiqué par la recourante. Vérifié d'office, le calcul de celui-ci auquel l'office intimé a procédé ne prête pas le flanc à la critique et doit être confirmé. Il y a dès lors lieu de retenir un taux d’invalidité de 0,99 %, lequel n’ouvre pas le droit à la rente.</w:t>
      </w:r>
    </w:p>
    <w:p>
      <w:r>
        <w:rPr>
          <w:b/>
        </w:rPr>
        <w:t>E. 8</w:t>
      </w:r>
    </w:p>
    <w:p>
      <w:r>
        <w:t>Au vu de ce qui précède, le recours doit être rejeté et la décision attaquée confirmée. Vu l’issue du litige, il n’y a pas lieu à allocation de dépens (art. 61 let. g LPGA; 55 al. 1 LPA-VD). Un émolument judiciaire de 400 fr. est mis à la charge de la recourante (art. 69 al. 1bis LAI;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