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ZD10.003474 vom 31. August 2011</w:t>
      </w:r>
    </w:p>
    <w:p>
      <w:r>
        <w:t>VD Tribunal cantonal, 2011-08-31, FR</w:t>
      </w:r>
    </w:p>
    <w:p>
      <w:r>
        <w:rPr>
          <w:b/>
        </w:rPr>
        <w:t xml:space="preserve">Quelle: </w:t>
      </w:r>
      <w:r>
        <w:t>https://mcp.opencaselaw.ch/entscheid/vd_gerichte_ZD10.003474</w:t>
      </w:r>
    </w:p>
    <w:p>
      <w:r>
        <w:t>FR: VD_GERICHTE ZD10.003474 du 31 août 2011</w:t>
      </w:r>
    </w:p>
    <w:p>
      <w:r>
        <w:t>IT: VD_GERICHTE ZD10.003474 del 31 agosto 2011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Au vu de ce qui précède, c'est à juste titre que l'intimé, se fondant sur l'expertise du Dr T.________, a considéré que la recourante s'est retrouvée en totale incapacité de travail de mars 2007 à début mai 2008, date à partir de laquelle sa capacité de travail est redevenue entière dans son activité habituelle. Il se justifiait donc de reconnaître à la</w:t>
      </w:r>
    </w:p>
    <w:p>
      <w:r>
        <w:t>- 19 - recourante le droit à une rente temporaire d'invalidité, du 1er mars 2008 (fin du délai d'attente d'un an) au 31 juillet 2008 (soit trois mois après l'amélioration de la capacité de travail ; cf. art. 88a al. 1 RAI [règlement du 17 janvier 1961 sur l'assurance-invalidité ; RS 831.201]). En conséquence, le recours doit être rejeté et la décision attaquée confirmée. b) En dérogation à l'art. 61 let. a LPGA, la procédure de recours en matière de contestations portant sur l'octroi ou le refus de prestations de l'AI devant le tribunal cantonal des assurances est soumise à des frais de justice ; le montant des frais est fixé en fonction de la charge liée à la procédure, indépendamment de la valeur litigieuse, et doit se situer entre 200 et 1'000 francs (art. 69 al. 1 bis LAI). En l'espèce, compte tenu de l'ampleur de la procédure, les frais de justice doivent être arrêtés à 400 fr. et être mis à la charge de la recourante, qui succombe (art. 49 al. 1 LPA-VD). Il n'y a pas lieu d'allouer de dépens, la recourante n'obtenant pas gain de cause (art. 55 al. 1 LPA-VD ; 61 let. g LPGA).</w:t>
      </w:r>
    </w:p>
    <w:p>
      <w:r>
        <w:t>- 20 -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