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ZD10.001956 vom 4. August 2010</w:t>
      </w:r>
    </w:p>
    <w:p>
      <w:r>
        <w:t>VD Tribunal cantonal, 2010-08-04, FR</w:t>
      </w:r>
    </w:p>
    <w:p>
      <w:r>
        <w:rPr>
          <w:b/>
        </w:rPr>
        <w:t xml:space="preserve">Quelle: </w:t>
      </w:r>
      <w:r>
        <w:t>https://mcp.opencaselaw.ch/entscheid/vd_gerichte_ZD10.001956</w:t>
      </w:r>
    </w:p>
    <w:p>
      <w:r>
        <w:t>FR: VD_GERICHTE ZD10.001956 du 4 août 2010</w:t>
      </w:r>
    </w:p>
    <w:p>
      <w:r>
        <w:t>IT: VD_GERICHTE ZD10.001956 del 4 agosto 2010</w:t>
      </w:r>
    </w:p>
    <w:p>
      <w:pPr>
        <w:pStyle w:val="Heading2"/>
      </w:pPr>
      <w:r>
        <w:t>Erwägungen</w:t>
      </w:r>
    </w:p>
    <w:p>
      <w:r>
        <w:rPr>
          <w:b/>
        </w:rPr>
        <w:t>E. 17</w:t>
      </w:r>
    </w:p>
    <w:p>
      <w:r>
        <w:t>mars 2005 c. 4.1; voir aussi TFA I 257/04 du 17 mars 2005 c. 3.2). b) En l’espèce, dans le cadre de sa demande de rente, en remplissant le formulaire 531 bis le 26 juillet 2003, la recourante avait certes déclaré que, si elle était en bonne santé, elle aurait travaillé, à un taux entre 50 % et 80 %. Toutefois, le rapport initial établi par l’OAI le 24 juin 2004, qui faisait suite à une rencontre avec la recourante le 23 avril 2004, indique que celle-ci, sans atteinte à sa santé, aurait également dû mettre un terme prématuré à sa mission prévue pour un couple, serait revenue en Suisse au décès de son mari en juin 2003, et se serait alors dirigée vers la reprise de son activité d’enseignante à plein temps. Il résulte en outre du questionnaire à l’employeur, comme du rapport précité, que la recourante travaillait à 100% dans son activité de missionnaire. Enfin, la recourante n’avait aucune personne dont elle devait s’occuper. Compte tenu de ces circonstances, c’est à juste titre que l’OAI a retenu le statut de personne active à 100%. c) Dans le cadre de la révision du droit à la rente, la recourante, remariée depuis 2006, a à nouveau rempli le 24 avril 2007 le formulaire 531 bis et indiqué qu’en bonne santé, elle travaillerait à</w:t>
      </w:r>
    </w:p>
    <w:p>
      <w:r>
        <w:t>- 16 - l’extérieur en plus de la tenue de son ménage, en qualité d’enseignante spécialisée, à 80 %, en raison d’intérêt personnel et de nécessité financière. Lors de l’enquête économique sur le ménage, elle a réitéré qu’elle aurait travaillé dans son métier d’enseignante spécialisée à 80 %. L’enquêtrice mentionne d’ailleurs que la recourante a indiqué ce taux sans hésitation. Au vu de la modification de la situation familiale de la recourante, du revenu de son époux ainsi que de ses déclarations claires et réitérées quant à son taux de travail si elle était en bonne santé, l’appréciation de l’OAI quant au statut d’active à 80% et de ménagère à 100% n’apparaît pas critiquable et doit être confirmée. 5. a) Sous l'angle du droit à la protection de la bonne foi et de l'obligation d'informer, la recourante soutient que l'OAI, sur la base du questionnaire rempli par l'assurée le 24 avril 2007, devait en substance considérer que l'intéressée aurait travaillé à 80 % depuis juillet 2003 si elle avait été en bonne santé.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V 4229), l'al. 1 pose une obligation générale et permanente de renseigner indépendante</w:t>
      </w:r>
    </w:p>
    <w:p>
      <w:r>
        <w:t>- 17 -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devoir de conseil de l'assureur social au sens de l'art. 27 al. 2 LPGA comprend l'obligation d'attirer l'attention de la personne intéressée sur le fait que son comportement pourrait mettre en péril la réalisation de l'une des conditions du droit aux prestations (ATF 131 V 472 c.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(TF K 7/06 du 12 janvier 2007 c. 3.3, in SVR 2007 KV no 14 p. 53 et la référence).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du 18 avril 1999, RS 101] (ATF 131 V 472 c. 5).</w:t>
      </w:r>
    </w:p>
    <w:p>
      <w:r>
        <w:t>- 18 - D'après la jurisprudence en matière de protection du droit à la bonne foi,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lI 627 c.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 5 p. 480; TF 8C_66/2009 du 7 septembre 2009 c. 8.4). Le droit à la protection de la bonne foi permet en outre au citoyen d'exiger que l'autorité respecte ses promesses et qu'elle évite de se contredire (TF 9C_695/2008 du 4 février 2009 c. 3.1 et les références citées).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 7.2). La reconnaissance d'un devoir de conseils au sens de cette disposition dépend ainsi du point de savoir si l'assureur social disposait, selon la situation concrète telle qu'elle se présentait à lui, d'indices suffisants qui lui imposaient au regard du principe de la bonne foi de renseigner l'intéressé (TF 8C_66/2009 du 7 septembre 2009).</w:t>
      </w:r>
    </w:p>
    <w:p>
      <w:r>
        <w:t>- 19 - c) En adressant à l'assurée le formulaire 531 bis, que celle-ci a rempli le 24 avril 2007, on ne voit pas en quoi l'intimé aurait manqué à son obligation d'informer cette dernière quant aux conséquences qu'il entendait en tirer, ni en quoi il aurait agi de façon préjudiciable et contraire à la bonne foi aux intérêts de la recourante. L'intimé n'a par ailleurs aucunement fait comprendre à l'assurée qu'il allait, comme lors de la décision d'octroi de rente, la considérer comme une personne active à 100 %. Au contraire, en recevant le formulaire 531 bis, l'assurée devait s'attendre à ce que la méthode d'évaluation de l'invalidité pût le cas échéant être modifiée. En ce sens, l'intimé ne saurait avoir consenti une "assurance donnée" à l'assurée (TF 2C_330/2008 du 29 août 2008 c. 4.2 et les références citées). En outre, le fait que l'OAI eût retenu le statut d'active à 100 % lors de la demande de rente ne signifiait pas que ce même statut allait nécessairement être également retenu lors de la procédure de révision du droit à la rente. Dans ces conditions, on ne voit pas en quoi l'intimé aurait manqué à son obligation d'informer l'assurée, respectivement l'aurait mal informée, de sorte qu'il ne saurait y avoir de violation du droit à la protection de la bonne foi, respectivement de l'obligation d'informer au sens de l'art. 27 LPGA. 6. Il convient d'examiner le taux de capacité de travail de la recourante. a) Dans son rapport médical du 19 août 2003, qui se base sur l'examen du 21 mai 2003, le Dr G.________ a retenu le diagnostic avec répercussion sur la capacité de travail de membrane néovasculaire oculaire classique bilatérale compliquant des stries angioïdes bilatérales, depuis janvier 2003. Il a indiqué que l'état de santé de l'assurée s'aggravait et a signalé une baisse de l'acuité visuelle bilatérale avec déformation des images. Dans l'annexe au rapport médical, il a précisé que la répercussion de l'atteinte à la santé sur l'activité exercée dépendait de l'utilité de la fonction visuelle dans le travail, que l'activité exercée était encore exigible dans la mesure des capacités visuelles, qu'une activité ne</w:t>
      </w:r>
    </w:p>
    <w:p>
      <w:r>
        <w:t>- 20 - nécessitant pas de vision pointue était envisageable, que la vision binoculaire n'était plus parfaite, de même que la sensibilité aux contrastes visuels, et que les activités nécessitant des manipulations fines n'étaient plus possibles. Dans un rapport du 10 septembre 2003, le Dr H.________ a posé les diagnostics de stries angioïdes bilatérales dans le contexte d'un pseudoxanthome élastique, depuis 1978, et de membranes néovasculaires rétrofovéales bilatérales secondaires, depuis février 2003. Dans l'annexe au rapport médical, datée du 10 septembre 2003, ce médecin a indiqué que l'activité exercée par l'assurée n'était plus exigible, a retenu une diminution de rendement d'environ 80 % dans toute activité comprenant lecture et écriture, puis a indiqué qu'une activité adaptée aux personnes malvoyantes était envisageable – en tenant compte d'un poste de travail bien éclairé et de peu d'activités de lecture ou d'écritures – à un taux de 50 % et avec une diminution de rendement pouvant être de 0 à 60 % selon l'activité considérée. Dans un rapport du 12 février 2007, la Dresse I.________ a retenu le diagnostic de membrane néo-vasculaire rétro-fovéale bilatérale compliquant des stries angioïdes et une incapacité de travail de 100 %, dans l'éducation spécialisée, à compter du 24 novembre 2006. Elle a indiqué que l'état de santé de l'assurée était stationnaire et, dans l'anamnèse, qu'il y avait une baisse d'acuité visuelle de l'œil droit à distance et de près, œil unique. Dans l'annexe au rapport médical, elle a relevé que l'activité exercée jusqu'à maintenant n'était plus exigible, et que l'exercice d'une autre activité était exigible à environ 50 %, compte tenu d'une diminution de rendement (non chiffrée) et en précisant ce qui suit: "Tout travail ne nécessitant pas une acuité visuelle de précision. La patiente serait très motivée pour faire du travail dans l'activité sociale relationnelle en étant particulièrement attentif au fait de baisse d'acuité visuelle de la patiente. Cette activité peut être exercée si elle est adaptée à son acuité visuelle autant que la patiente puisse le tolérer".</w:t>
      </w:r>
    </w:p>
    <w:p>
      <w:r>
        <w:t>- 21 - Dans un rapport du 12 avril 2007, la Dresse J.________, du SMR, se prononçant notamment au sujet du rapport précité du 12 février 2007 de la Dresse I.________, a considéré qu'il y avait eu une aggravation de l'état de santé de l'intéressée, mais pas nécessairement de la capacité de travail. Concernant l'activité d'enseignante spécialisée, elle a retenu que la capacité de travail restait exigible à 50 %, à condition qu'elle fût adaptée aux limitations fonctionnelles (sans activité de lecture et d'écriture, sans surveillance de petits enfants); si au contraire cette activité exigeait une bonne acuité visuelle, elle s'est référée à une incapacité de travail complète, depuis 2003. Elle a ajouté que la capacité de travail était de 50 % dans une activité adaptée, sans changement depuis 2003. b) On retiendra donc que, à l'époque de l'octroi de rente d'invalidité, le médecin traitant de l'assurée, le Dr H.________, avait estimé que la capacité de travail était nulle dans son activité habituelle et qu'elle était de 50 % dans une activité adaptée compte tenu d'une diminution de rendement de 0 à 60 %; ce médecin a fait état d'une aggravation après photothérapie de l'œil droit, ce qui n'est pas incohérent (rapport du 10 septembre 2003). Pour sa part, le médecin de l'Hôpital ophtalmique M.________, le Dr G.________, avait relevé que l'activité exercée était encore exigible dans la mesure des capacités visuelles et qu'une activité ne nécessitant pas de vision pointue était envisageable (rapport du 19 août 2003). Par prononcé du 9 décembre 2005, l'OAI avait indiqué que l'assurée pouvait, moyennant certains aménagements, exercer son activité habituelle d'éducatrice spécialisée à 50%, ce qui entraînait un préjudice économique de 50 %. Lors de la procédure de révision du droit à la rente, le médecin de l'Hôpital ophtalmique M.________, la Dresse I.________, a estimé que l'activité exercée jusqu'à maintenant n'était plus exigible, et que l'exercice d'une autre activité était exigible à environ 50 %, compte tenu d'une diminution de rendement, sans toutefois en préciser l'ampleur (rapport du 12 février 2007). Pour sa part, la Dresse J.________, du SMR, a retenu que la capacité de travail dans l'activité d'enseignante spécialisée restait exigible</w:t>
      </w:r>
    </w:p>
    <w:p>
      <w:r>
        <w:t>- 22 - à 50 %, à condition qu'elle fût adaptée aux limitations fonctionnelles, sinon elle était nulle. Dans une activité adaptée, elle a retenu une capacité de travail de 50 %, sans changement depuis 2003 (rapport du 12 avril 2007). Si la Dresse I.________ a indiqué que l'état de santé de l'assurée était stationnaire, elle n'en a pas moins relevé qu'il y avait une baisse d'acuité visuelle de l'œil droit à distance et de près. Sur ce point, la Dresse J.________ a signalé une aggravation de l'état de santé, tout en relevant que les limitations fonctionnelles étaient restées les mêmes. On relèvera donc que les constatations de ces médecins semblent quelque peu manquer de cohérence au regard de leur appréciation respective. S'agissant de la capacité de travail dans l'activité habituelle de l'assurée, question sur laquelle ces deux médecins ont des opinions divergentes, l'avis de la Dresse I.________ est certes peu étayé, voire contradictoire, mais il ne saurait sans autre être écarté par celui de la Dresse J.________ qui n'a pas personnellement examiné l'assurée et n'est pas spécialiste en ophtalmologie. L'assertion du médecin du SMR est au demeurant confuse, dès lors que l'appréciation de la capacité de travail dans l'activité d'enseignante spécialisée n'est pas clairement déterminée car elle serait fonction de l'exigence d'une bonne acuité visuelle. Par ailleurs, s'agissant de la capacité de travail dans une activité adaptée, la Dresse I.________ n'a pas précisé l'ampleur de la diminution de rendement de l'assurée, tout en admettant qu'il y en a une, et la Dresse J.________ ne s'est pour sa part pas prononcée au sujet d'une éventuelle diminution de rendement. L'état de santé de l'assurée semble d'ailleurs s'être aggravé en 2007, quand bien même la Dresse I.________ a constaté un état stationnaire (rapport du 12 février 2007). En effet, les acuités visuelles ont été chiffrées à 0.4 à D de loin et 0.2 à G de loin le 21 mai 2003 (rapport du</w:t>
      </w:r>
    </w:p>
    <w:p>
      <w:r>
        <w:rPr>
          <w:b/>
        </w:rPr>
        <w:t>E. 19</w:t>
      </w:r>
    </w:p>
    <w:p>
      <w:r>
        <w:t>août 2003 du Dr G.________), à 0.4 à D et 2/50 à G le 10 septembre 2003 (rapport du même jour du Dr H.________) et à 0.2 à D et comptage des doigts à G le 24 novembre 2006 (rapport du 12 février 2007 de la Dresse I.________).</w:t>
      </w:r>
    </w:p>
    <w:p>
      <w:r>
        <w:t>- 23 - c) En conséquence, en présence d'avis contradictoires et au demeurant peu étayés, dont aucun ne revêt une pleine valeur probante (ATF 125 V 352 c. 3a et les références citées; TF 8C_1021/2008 du 3 décembre 2009 c. 2.2.2), il n'est pas possible de se prononcer à satisfaction de droit sur l'état de santé de la recourante et sur sa capacité de travail exigible. La décision attaquée doit donc être annulée et la cause renvoyée à l'OAI afin qu'il mette en œuvre une expertise par un spécialiste en ophtalmologie, l'expert devant notamment se prononcer sur l'évolution de l'état de santé de la recourante, sur sa capacité de travail dans sa profession habituelle et dans une activité adaptée ainsi que sur ses limitations fonctionnelles. Il appartiendra ensuite à l'OAI de déterminer l'invalidité de la recourante selon la méthode mixte, selon les considérants qui précèdent, puis de statuer sur le droit à la rente d'invalidité. Dans cette mesure, les autres arguments avancés par les parties n'ont pas besoin d'être examinés. Partant, le recours est admis. 7. En dérogation à l'art. 61 let. a LPGA, la procédure de recours en matière de contestations portant sur l'octroi ou le refus de prestations de l'AI devant le tribunal cantonal des assurances est soumise à des frais de justice (art. 69 al. 1 bis LAI). Vu l'issue du litige, il n'y a toutefois pas lieu de percevoir de frais de justice (art. 52 al. 1 LPA-VD). La recourante, qui obtient gain de cause avec le concours d'un mandataire professionnel, a droit à des dépens dont le montant – qui doit être déterminé au regard de l'importance et de la complexité du litige sans égard à la valeur litigieuse (art. 61 litt. g LPGA) – doit en l'espèce être arrêté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