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ZD09.036523 vom 21. Juli 2010</w:t>
      </w:r>
    </w:p>
    <w:p>
      <w:r>
        <w:t>VD Tribunal cantonal, 2010-07-21, FR</w:t>
      </w:r>
    </w:p>
    <w:p>
      <w:r>
        <w:rPr>
          <w:b/>
        </w:rPr>
        <w:t xml:space="preserve">Quelle: </w:t>
      </w:r>
      <w:r>
        <w:t>https://mcp.opencaselaw.ch/entscheid/vd_gerichte_ZD09.036523</w:t>
      </w:r>
    </w:p>
    <w:p>
      <w:r>
        <w:t>FR: VD_GERICHTE ZD09.036523 du 21 juillet 2010</w:t>
      </w:r>
    </w:p>
    <w:p>
      <w:r>
        <w:t>IT: VD_GERICHTE ZD09.036523 del 21 luglio 2010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dossier étant complet, permettant ainsi à la Cour de céans de statuer en pleine connaissance de cause, il n'y a pas lieu d'ordonner une instruction complémentaire sous la forme d'une nouvelle expertise pluridisciplinaire. En définitive, la décision querellée échappe à la critique. Par conséquent, le recours, mal fondé, doit être rejeté, ce qui entraîne la confirmation de la décision attaquée.</w:t>
      </w:r>
    </w:p>
    <w:p>
      <w:r>
        <w:rPr>
          <w:b/>
        </w:rPr>
        <w:t>E. 6</w:t>
      </w:r>
    </w:p>
    <w:p>
      <w:r>
        <w:t>Il reste à statuer sur les frais et dépens (art. 91 LPA-VD, applicable par renvoi de l'art. 99 LPA-VD). En dérogation à l'art. 61 let. a LPA-VD, la procédure de recours en matière de contestations portant sur l'octroi ou le refus de prestations de l'AI devant le tribunal cantonal des assurances est soumise à des frais de justice (art. 69 al. 1bis LAI). En l'espèce, les frais de justice doivent être arrêtés à 400 fr. et mis à la charge de la recourante qui succombe (art. 49 al. 1 LPA-VD). Il n'y a pas lieu d'allouer de dépens, la recourante n'obtenant pas gain de cause (art. 61 let. g LPGA; art.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