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ZD09.035642 vom 21. Oktober 2010</w:t>
      </w:r>
    </w:p>
    <w:p>
      <w:r>
        <w:t>VD Tribunal cantonal, 2010-10-21, FR</w:t>
      </w:r>
    </w:p>
    <w:p>
      <w:r>
        <w:rPr>
          <w:b/>
        </w:rPr>
        <w:t xml:space="preserve">Quelle: </w:t>
      </w:r>
      <w:r>
        <w:t>https://mcp.opencaselaw.ch/entscheid/vd_gerichte_ZD09.035642</w:t>
      </w:r>
    </w:p>
    <w:p>
      <w:r>
        <w:t>FR: VD_GERICHTE ZD09.035642 du 21 octobre 2010</w:t>
      </w:r>
    </w:p>
    <w:p>
      <w:r>
        <w:t>IT: VD_GERICHTE ZD09.035642 del 21 ottobre 2010</w:t>
      </w:r>
    </w:p>
    <w:p>
      <w:pPr>
        <w:pStyle w:val="Heading2"/>
      </w:pPr>
      <w:r>
        <w:t>Erwägungen</w:t>
      </w:r>
    </w:p>
    <w:p>
      <w:r>
        <w:rPr>
          <w:b/>
        </w:rPr>
        <w:t>E. 4</w:t>
      </w:r>
    </w:p>
    <w:p>
      <w:r>
        <w:t>a) Selon l'art. 21 al. 1er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L'assurance prend à sa charge les moyens auxiliaires d'un modèle simple et adéquat et les remet en toute propriété ou en prêt ou les rembourse à forfait (al. 3, première phrase). A teneur de l'art. 14 RAI (règlement du 17 janvier 1961 sur l'assurance-invalidité; RS 831.201), fondé sur la délégation de compétence de l'art. 21 al. 4 LAI, la liste des moyens auxiliaires visée par l’art. 21 LAI fait l’objet d’une ordonnance du Département fédéral de l’intérieur, où sont également édictées des dispositions complémentaires concernant : a. la remise ou le remboursement des moyens auxiliaires; b. les contributions au coût des adaptations d’appareils et d’immeubles commandées par l’invalidité. Le Département a satisfait à la délégation de compétence réglementaire en arrêtant l'OMAI (ordonnance du 29 novembre 1976 concernant la remise de moyens auxiliaires par l'assurance-invalidité; RS 831.232.51), dont l'art. 2 al. 1 dispose qu'ont droit aux moyens auxiliaires, dans les limites fixées, par la liste en annexe, les assurés qui en ont besoin pour se déplacer, établir des contacts avec leur entourage ou développer leur autonomie personnelle (al. 1). Le droit s’étend aux accessoires et aux adaptations rendus nécessaires par l’invalidité (al. 3).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14 consid. 3.4.2; 121 V 258 consid. 2b et les références).</w:t>
      </w:r>
    </w:p>
    <w:p>
      <w:r>
        <w:t>- 16 - b) En l'espèce le devis du 6 novembre 2008 mentionne le chiffre 144.11 du code OSM qui indique sous chiffre 144 "Orthèses du pied mobile à l'articulation, chaussure interne avec tige de la jambe et mobilité dosées à l'articulation tibio-tarsienne" et sous chiffre 144.10 et .11 : "Cas simple d'un seul côté". L'orthèse jambo-pédieuse litigieuse est ainsi un moyen auxiliaire.</w:t>
      </w:r>
    </w:p>
    <w:p>
      <w:r>
        <w:rPr>
          <w:b/>
        </w:rPr>
        <w:t>E. 5</w:t>
      </w:r>
    </w:p>
    <w:p>
      <w:r>
        <w:t>Le recourant allègue d'autre part que sa demande de prestations du 12 août 2004 vaudrait pour toutes les prestations subséquentes en lien avec celle-ci, ce qui engloberait, selon lui, la prestation litigieuse. Toutefois, la demande d'août 2004 tendait à la prise en charge de mesures médicales néonatales et a fait l'objet de la décision d'octroi du 29 septembre 2005. Contrairement à ce que soutient le recourant, on ne peut inférer d'une telle demande qu'il aurait besoin du moyen auxiliaire tel une orthèse jambo-pédieuse. Il ne résulte en outre pas des pièces du dossier jusqu'à réception par l'OAI du devis en cause, que l'enfant ait eu besoin d'un tel moyen auxiliaire, les rapports médicaux antérieurs à août 2007, date du départ de la Suisse du recourant et de sa famille, mentionnant uniquement une hémiplégie spastique gauche et certains troubles au niveau du membre inférieur gauche. Il n'est au demeurant pas contestable que le recourant connaissait les faits donnant droit à prestation depuis août 2007, date à laquelle il a reçu l'orthèse en cause. En conséquence, la demande de prise en charge en novembre 2008 de l'orthèse en cause, livrée le 9 août 2007 et que le recourant n'a</w:t>
      </w:r>
    </w:p>
    <w:p>
      <w:r>
        <w:t>- 17 - portée que quelques mois selon le rapport du 28 janvier 2009 des médecins de l'Hôpital de l'enfance, est tardive.</w:t>
      </w:r>
    </w:p>
    <w:p>
      <w:r>
        <w:rPr>
          <w:b/>
        </w:rPr>
        <w:t>E. 6</w:t>
      </w:r>
    </w:p>
    <w:p>
      <w:r>
        <w:t>Le recours mal fondé, doit par conséquent être rejeté, ce qui entraîne la confirmation de la décision attaquée. Compte tenu de la charge liée à la procédure, les frais de justice sont arrêtés à 250 fr. et mis à la charge du recourant, qui succombe (art. 69 al. 1bis LAI et 49 al. 1 LPA-VD). Il n'est pas alloué de dépens (art. 61 let. g LPGA et 55 LPA-VD). Par ces motifs, le juge unique p r o n o n c e : I. Le recours est rejeté. II. La décision rendue le 28 septembre 2009 par l'Office de l'assurance-invalidité pour le canton de Vaud est maintenue. III. Les frais de justice d'un montant de 250 fr. (deux cent cinquante francs) sont mis à la charge du recourant. IV. Il n'est pas alloué de dépens. La juge unique : La greffière : Du L'arrêt qui précède est notifié à : - Me Philippe Graf (pour A.R.________) - Office de l'assurance-invalidité pour le canton de Vaud</w:t>
      </w:r>
    </w:p>
    <w:p>
      <w:r>
        <w:t>- 18 -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