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ZD09.035528 vom 13. Oktober 2010</w:t>
      </w:r>
    </w:p>
    <w:p>
      <w:r>
        <w:t>VD Tribunal cantonal, 2010-10-13, FR</w:t>
      </w:r>
    </w:p>
    <w:p>
      <w:r>
        <w:rPr>
          <w:b/>
        </w:rPr>
        <w:t xml:space="preserve">Quelle: </w:t>
      </w:r>
      <w:r>
        <w:t>https://mcp.opencaselaw.ch/entscheid/vd_gerichte_ZD09.035528</w:t>
      </w:r>
    </w:p>
    <w:p>
      <w:r>
        <w:t>FR: VD_GERICHTE ZD09.035528 du 13 octobre 2010</w:t>
      </w:r>
    </w:p>
    <w:p>
      <w:r>
        <w:t>IT: VD_GERICHTE ZD09.035528 del 13 ottobre 2010</w:t>
      </w:r>
    </w:p>
    <w:p>
      <w:pPr>
        <w:pStyle w:val="Heading2"/>
      </w:pPr>
      <w:r>
        <w:t>Erwägungen</w:t>
      </w:r>
    </w:p>
    <w:p>
      <w:r>
        <w:rPr>
          <w:b/>
        </w:rPr>
        <w:t>E. 28</w:t>
      </w:r>
    </w:p>
    <w:p>
      <w:r>
        <w:t>janvier 2009 (cf. let. C.b supra) – lequel avait été mis en oeuvre afin de déterminer l’évolution de l’état de santé ainsi que la capacité de travail exigible suite à l’apparition d’un problème neurochirurgical. Ce dernier examen, qualifié de succinct par la recourante, faisait pourtant état d’une anamnèse particulièrement fouillée; les documents radiologiques étaient énumérés et commentés; le status ostéoarticulaire était précisément décrit et détaillé; les plaintes de la recourante étaient rappelées tout au</w:t>
      </w:r>
    </w:p>
    <w:p>
      <w:r>
        <w:t>- 25 - long de l’anamnèse; enfin, les conclusions de l'experts étaient claires, exemptes de contradictions et dûment motivées. Il en résultait que l’examen neurologique était sans particularité. L’examen rachidien mettait en évidence des troubles de la statique vertébrale, ce qui était confirmé par les constatations radiologiques (discopathie significative L5-S1, non neuro-compressive, et discopathie banale C5-C6, également non neuro-compressive). Par ailleurs, le status après exérèse d’un schwannome n’entraînait aucune limitation fonctionnelle, le problème étant définitivement réglé. L’examen ostéoarticulaire périphérique était également dans la norme, hormis s'agissant des genoux; là encore, les clichés radiologiques confirmaient la présence d’un syndrome rotulien. Les autres plaintes musculo- squelettiques n'étaient pas justifiées par des éléments objectifs, et s'intégraient dans le cadre du trouble somatoforme. En particulier, les douleurs abdominales étaient, selon le Dr H.________ (chirurgien de la recourante), d’ordre fonctionnel; ce médecin l’avait d’ailleurs incitée à augmenter son activité physique. Dès lors, par rapport à la situation existant lors de l’expertise du Dr D.________ (aucune limitation fonctionnelle ostéoarticulaire objective), l’examinateur du SMR attestait une aggravation notamment au niveau lombaire et des genoux. Ces atteintes entraînaient des limitations fonctionnelles claires, mais n’empêchaient assurément pas la recourante de travailler dans une activité adaptée. Si le Dr T.________ attestait une incapacité totale de travail depuis 1999, ses constatations objectives concordaient, à travers le temps, avec celles du Dr D.________ et de l’expert du SMR. Son avis, nettement moins étayé que ceux des deux experts, ne saurait dès lors être reconnu comme probant. Cela étant, aucun autre médecin ne s’était spécifiquement prononcé sur la capacité de travail exigible ainsi que sur les limitations fonctionnelles. Les différents rapports [...] versés au dossier faisaient essentiellement état d’attitudes thérapeutiques suite à des</w:t>
      </w:r>
    </w:p>
    <w:p>
      <w:r>
        <w:t>- 26 - interventions; on ne pouvait dès lors, comme le faisait la recourante, en tirer des conclusions sur sa capacité, respectivement son incapacité de travail. Il n’était par conséquent absolument pas correct d’affirmer que l’intégralité des médecins avaient évoqué l’existence d’une incapacité de travail et que l’examen du SMR présentait des conclusions opposées à tous les autres documents médicaux. Dans la mesure où, tant du point de vue psychiatrique que somatique, le médecin traitant de la recourante ne faisait état d’aucun élément objectif qui n’aurait pas été pris en compte dans le cadre des différentes expertises, il convenait, selon l'OAI, de retenir les conclusions respectives qui ressortaient des expertises, à savoir que depuis l’automne 2007, la capacité de travail de l'intéressée était entière dans une activité adaptée, et qu'auparavant, sa capacité de travail était entière dans toute activité. L'OAI proposait dès lors le rejet du recours. c) Dans sa réplique du 24 mars 2010, la recourante a déclaré maintenir intégralement les conclusions de son recours. Elle a produit un certificat médical établi le 10 décembre 2009 par le Dr B.________, médecin conseil du Service de l'emploi [...], lequel attestait que, "pour des raisons médicales, Madame R.________, née le 9.6.1957, [était] dans l'incapacité de travailler dès le 17 novembre 2009 pour une durée indéterminée", étant précisé que "[c]e certificat n'[était] valable que pour le Service de l'emploi". d) Le 29 mars 2010, le juge instructeur a informé les parties que, l'instruction médicale apparaissant complète, il n'était pas donné suite à la requête de la recourante tendant à la mise en œuvre d'une expertise judiciaire; il a réservé l'avis des autres membres de la cour qui serait appelée à statuer. E n d r o i t :</w:t>
      </w:r>
    </w:p>
    <w:p>
      <w:r>
        <w:t>- 27 - 1.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22 octobre 2009 par R.________ contre la décision rendue le 17 septembre 2009 par l'Office de l'assurance-invalidité pour le canton de Vaud, décision que la recourante affirme n’avoir reçue que le 23 septembre 2009 (cf. let. D.a supra) de sorte que le recours doit être considéré comme interjeté en temps utile (art. 60 al. 1 LPGA). S'agissant d'une contestation relative à l'octroi d'une rente de l'assurance-invalidité, il est par principe admis que la valeur litigieuse est supérieure à 30'000 fr. (cf. Exposé des motifs et projet de LPA-VD, mai 2008, n° 81, p. 47); la cause doit en conséquence être tranchée par la</w:t>
      </w:r>
    </w:p>
    <w:p>
      <w:r>
        <w:t>- 28 - cour composée de trois magistrats (art. 83c al. 1 LOJV [loi vaudoise d'organisation judiciaire du 12 décembre 1979, RSV 173.01]), et non par un juge unique (cf.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En l'espèce, est litigieuse la capacité de travail résiduelle de la recourante – celle-ci s’estimant totalement incapable de travailler, tandis que l’office intimé considère qu’elle présente une pleine capacité de travail dans une activité adaptée aux limitations fonctionnelles induites par ses atteintes sur le plan somatique –, respectivement son degré d'invalidité et, partant, son droit à une rente.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dans sa teneur en vigueur depuis le 1er janvier 2008 (pour la période antérieure, cf. art. 28 al. 1 de l'ancienne LAI),</w:t>
      </w:r>
    </w:p>
    <w:p>
      <w:r>
        <w:t>- 29 - l'assuré a droit à un quart de rente s'il est invalide à 40 % au moins, à une demi-rente s'il est invalide à 50 % au moins, à trois-quarts de rente s'il est invalide à 60 % au moins et à une rente entière s'il est invalide à 70 % au moins. A teneur de l'art. 16 LPGA,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c)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w:t>
      </w:r>
    </w:p>
    <w:p>
      <w:r>
        <w:t>- 30 -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 3b/cc et les références;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celle-ci (TF 9C_776/2009 du 11 juin 2010, consid. 2.2 ; TF 9C_514/2009 du 3 novembre 2009, consid. 4; TF 8C_14/2009 du 8 avril 2009, consid. 3). d) Selon la jurisprudence, les atteintes à la santé psychique peuvent, comme les atteintes à la santé physique, entraîner une invalidité. On ne considère toutefois pas comme des conséquences d’un état psychique maladif, donc pas comme des affections à prendre en charge par l’assurance-invalidité, les diminutions de la capacité de gain que l’assuré pourrait empêcher en faisant preuve de bonne volonté; la mesure</w:t>
      </w:r>
    </w:p>
    <w:p>
      <w:r>
        <w:t>- 31 - de ce qui est exigible doit être déterminée aussi objectivement que possible (TF 9C_547/2008 du 19 juin 2009, consid. 2.1 et les références).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9C_547/2008 précité,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peut constituer une telle comorbidité un état dépressif majeur (ATF 132 V 65 précité, consid. 4.2.2; TF 9C_547/2008 précité, consid. 2.2). Parmi les autres critères déterminants, doivent être considérés comme pertinents un processus maladif s'étendant sur plusieurs années sans rémission durable (symptomatologie inchangée ou progressive), la présence d'affections corporelles chroniques, une perte d'intégration sociale dans toutes les manifestations de la vie, ou encore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précité, consid. 4.2.2; TF 9C_387/2009 du 5 octobre 2009, consid. 3.2). 4. En l’espèce, il convient d’apprécier la situation médicale de la recourante et les répercussions de ses atteintes à la santé sur sa capacité</w:t>
      </w:r>
    </w:p>
    <w:p>
      <w:r>
        <w:t>- 32 - de travail tant sur le plan somatique (cf. consid. 4a infra) que sur le plan psychiatrique (cf. consid. 4b infra). a) Afin d’apprécier les atteintes à la santé dont souffre la recourante sur le plan somatique, l’OAI a d’abord mandaté le Dr D.________, médecin associé au Service de rhumatologie [...], pour une expertise médicale indépendante, qui a donné lieu à un rapport d’expertise du 28 janvier 2004 (cf. let. A.f supra). Après que l'assurée eut produit le rapport établi le 8 décembre 2008 par le Dr T.________, lequel faisait état d'une aggravation de l'état de santé sur le plan rachidien, avec notamment une hémilaminectomie L5-S1 pour exérèse d'un schwannome le 20 septembre 2007 (cf. let. C.a supra), l’OAI a fait effectuer un examen clinique rhumatologique au SMR par le Dr V.________, spécialiste FMH en médecine interne et rhumatologie, qui a donné lieu à un rapport d’examen du 28 janvier 2009 (cf. let. C.b supra). Le rapport d’examen du Dr V.________ contient une anamnèse particulièrement fouillée, dans laquelle les plaintes et données subjectives de l’assurée sont également exposées de manière circonstanciée (p. 2-4), une description précise et détaillée du status clinique ostéoarticulaire (p. 4-6), un examen commenté des documents radiologiques (p. 6), les diagnostics selon la CIM-10 (p. 7) et une appréciation du cas (p. 7-9) qui décrit la situation médicale et aboutit à des conclusions claires, convaincantes, exemptes de contradictions et dûment motivées. Ce rapport médical remplit ainsi toutes les exigences posées par la jurisprudence pour qu’une pleine valeur probante lui soit accordée (cf. consid. 3c supra). Le Dr V.________ expose de manière détaillée et convaincante les raisons pour lesquelles il retient, sur la base notamment de clichés d’IRM lombaires dont ne disposait pas le Dr D.________, une aggravation de la situation par rapport à ce qu’avait relevé ce dernier au terme de son examen réalisé en 2004, la capacité de travail de la recourante demeurant toutefois entière dans une activité professionnelle respectant les limitations fonctionnelles énoncées sur le plan somatique. Toutes les constatations objectives</w:t>
      </w:r>
    </w:p>
    <w:p>
      <w:r>
        <w:t>- 33 - ressortant des rapports médicaux établis par les autres médecins qui ont examiné la recourante ont été dûment prises en compte par le Dr V.________. Celui-ci indique en particulier de manière motivée que le status après exérèse d’un schwannome le 20 septembre 2007, dont faisait état le Dr T.________ dans son rapport du 8 décembre 2008 (cf. let. C.a supra), n’entraîne aucune limitation fonctionnelle, le problème étant définitivement réglé. Quant aux constatations objectives contenues dans les rapports médicaux invoqués par la recourante (cf. let. D.a supra), soit en particulier dans le rapport des médecins du CHUV du 1er novembre 2000 et dans celui du Dr N.________ du 19 mars 2002 (cf. let. A.d supra), sont mentionnés dans le rapport d’examen du Dr V.________ du 28 janvier 2009. Le diagnostic de troubles somaformes douloureux, respectivement de syndrome fibromyalgique, évoqué par les médecins du CHUV et par le Dr N.________, mais également par le Dr T.________ (cf. let. A.b, A.d, B.b, B.g et C.a supra) et par le Dr D.________ (cf. let. A.f supra), est également pris en compte par le Dr V.________, qui retient le diagnostic voisin de syndrome douloureux ostéoarticulaire diffus évoquant une fibromyalgie. Comme rappelé (cf. consid. 3d supra), le caractère invalidant d’un tel syndrome doit être examiné au regard des critères posés par la jurisprudence, sur la base d’une expertise psychiatrique (cf. consid. 4b infra). Cela étant, sur le plan strictement somatique, aucun élément ne justifie de s’écarter des conclusions du Dr V.________, en ce sens que, dans une activité réputée adaptée aux limitations fonctionnelles décrites par ce spécialiste, la capacité de travail de la recourante est pleine et entière. b) Afin d’établir les atteintes à la santé dont souffre la recourante sur le plan psychique, respectivement les éventuelles répercussions de telles atteintes sur sa capacité de travail, l’OAI, après que le Tribunal fédéral lui a renvoyé le dossier pour qu’il complète l’instruction sous la forme d’une expertise psychiatrique ou pluridisciplinaire (cf. let. B.e supra), a mandaté à cet effet le Dr F.________, spécialiste FMH en psychiatrie et psychothérapie (cf. let. B.f supra). Le rapport de cet expert, déposé le 15 avril 2008, contient une anamnèse, la description des plaintes de l’expertisée, la description de l’observation clinique, les résultats des tests psychologiques, les diagnostics et une</w:t>
      </w:r>
    </w:p>
    <w:p>
      <w:r>
        <w:t>- 34 - appréciation circonstanciée. Ce rapport, dans lequel sont retenus les diagnostics de syndrome douloureux somatoforme persistant (F45.4) et de trouble dépressif majeur récurrent (état actuel moyen) (F33.1), satisfait en tous points aux exigences posées par la jurisprudence pour se voir reconnaître pleine valeur probante (cf. consid. 3c supra). Le Dr F.________ se fonde sur l’ensemble de la documentation médicale au dossier ainsi que sur son propre examen; l'appréciation diagnostique est très bien motivée et l’expert explique de manière tout à fait convaincante les raisons pour lesquelles il ne retient aucune comorbidité psychiatrique importante au sens de la jurisprudence (cf. consid. 3d supra); les autres critères permettant selon la jurisprudence du Tribunal fédéral de définir le caractère invalidant d’un trouble somatoforme douloureux (cf. consid. 3d supra) sont également discutés de manière circonstanciée par l’expert, et conduisent clairement à nier un tel caractère invalidant en l’espèce. S’agissant des autres médecins consultés par la recourante, le Dr M._________, qui suivait celle-ci en 2001, mentionnait déjà dans son rapport du 7 avril 2003 le diagnostic de trouble somatoforme douloureux, associé à quelques symptômes de la lignée anxiodépressive; ce spécialiste ne se prononçait pas sur la capacité de travail, estimant que cette question devait être tranchée par un expert (cf. let. A.e supra). Or, c’est précisément ce qui a été fait par le Dr F.________ dans son rapport d’expertise du 15 avril 2008. Les conclusions de cette expertise confirment au demeurant celles des deux examens cliniques psychiatriques effectués antérieurement par la Dresse E.________ du SMR (cf. let. A.e et B.d supra), lesquels ne pouvaient à eux seuls se voir reconnaître de caractère probant non pas en raison de leur contenu, mais en raison d’irrégularités formelles – liées à l'utilisation d'un titre auquel ce médecin ne pouvait prétendre (cf. let. B.e supra). Enfin, si la recourante est suivie depuis le 6 novembre 2003 par la Dresse J.________ [...] (cf. let. B.d supra), l’expert F.________ a pris en compte l'avis de cette dernière (avec laquelle il s’est entretenu téléphoniquement le 15 avril 2008), et a clairement exposé les motifs pour lesquelles il s’est écarté de ses conclusions. Dans ces conditions, il n’existe aucune raison de remettre en cause les conclusions claires,</w:t>
      </w:r>
    </w:p>
    <w:p>
      <w:r>
        <w:t>- 35 - convaincantes et soigneusement motivées de l’expert F.________ (cf. consid. 3c supra). c) Il résulte de ce qui précède que la décision attaquée échappe à la critique en tant qu’elle retient que la recourante présente, tant sur le plan psychiatrique que sur le plan somatique, une pleine capacité de travail dans une activité adaptée aux limitations fonctionnelles décrites par le Dr V.________. La Cour étant en mesure de statuer sur la base des avis médicaux au dossier, en particulier des rapports particulièrement complets des Drs V.________ (sur le plan somatique) et F.________ (sur le plan psychiatrique), de nouvelles mesures d'instruction, en particulier la mise en œuvre d’une expertise psychiatrique judiciaire telle que requise par la recourante (cf. let. D.a supra), se révèlent superflues. Dès lors que la comparaison des revenus avec et sans invalidité retenus par l’OAI – lesquels ne sont pas critiqués – fait apparaître un degré d’invalidité de 10 % (cf. let. C.c supra), largement inférieur au seuil de 40 % ouvrant le droit à un quart de rente d'invalidité (art. 28 al. 1 LAI, dans sa teneur en vigueur jusqu'au 31 décembre 2007; cf. actuellement art. 28 al. 1 et 2 LAI), le recours se révèle mal fondé et doit être rejeté. 5. a) En définitive,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w:t>
      </w:r>
    </w:p>
    <w:p>
      <w:r>
        <w:t>- 36 - compte tenu de la charge liée à la procédure, les frais de justice doivent être arrêtés à 400 fr. et mis à la charge de la recourante, qui succombe (art. 69 al. 1bis LAI; art. 49 al. 1 LPA-VD). Il n'y a pas lieu d'allouer de dépens, la recourante n'obtenant pas gain de cause (art. 55 al. 1 et 56 al. 3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