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ZD09.029916 vom 10. Juni 2010</w:t>
      </w:r>
    </w:p>
    <w:p>
      <w:r>
        <w:t>VD Tribunal cantonal, 2010-06-10, FR</w:t>
      </w:r>
    </w:p>
    <w:p>
      <w:r>
        <w:rPr>
          <w:b/>
        </w:rPr>
        <w:t xml:space="preserve">Quelle: </w:t>
      </w:r>
      <w:r>
        <w:t>https://mcp.opencaselaw.ch/entscheid/vd_gerichte_ZD09.029916</w:t>
      </w:r>
    </w:p>
    <w:p>
      <w:r>
        <w:t>FR: VD_GERICHTE ZD09.029916 du 10 juin 2010</w:t>
      </w:r>
    </w:p>
    <w:p>
      <w:r>
        <w:t>IT: VD_GERICHTE ZD09.029916 del 10 giugno 2010</w:t>
      </w:r>
    </w:p>
    <w:p>
      <w:pPr>
        <w:pStyle w:val="Heading2"/>
      </w:pPr>
      <w:r>
        <w:t>Erwägungen</w:t>
      </w:r>
    </w:p>
    <w:p>
      <w:r>
        <w:rPr>
          <w:b/>
        </w:rPr>
        <w:t>E. 1</w:t>
      </w:r>
    </w:p>
    <w:p>
      <w:r>
        <w:t>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 la suspension du délai de recours pendant les féries d'été (art. 38 al. 4 let. b LPGA, applicable par analogie en vertu de l'art. 60 al. 2 LPGA) – auprès du tribunal compétent, est donc recevable. b) La loi cantonale vaudoise du 28 octobre 2008 sur la procédure administrative (LPA-VD; RSV 173.36), entrée en vigueur le 1er janvier 2009 et immédiatement applicable aux causes pendantes devant les autorités de justice administratives à cette date (art. 117 al. 1 LPA-VD), s'applique aux recours dans le domaine des assurances sociales (art. 2 al. 1 let. c LPA-VD). La Cour des assurances sociales du Tribunal cantonal est compétente pour statuer (art. 93 al. 1 let. a LPA-VD).</w:t>
      </w:r>
    </w:p>
    <w:p>
      <w:r>
        <w:rPr>
          <w:b/>
        </w:rPr>
        <w:t>E. 2</w:t>
      </w:r>
    </w:p>
    <w:p>
      <w:r>
        <w:t>La LAI (loi fédérale du 19 juin 1959 sur l'assurance-invalidité; RS 831.20) ayant subi deux révisions depuis 2002 et la LPGA, entrée en vigueur le 1er janvier 2003, ayant entraîné la modification de nombreuses dispositions légales dans le domaine des assurances sociales et par conséquent de l'assurance-invalidité, il convient de déterminer quel est le droit matériel applicable au présent cas.</w:t>
      </w:r>
    </w:p>
    <w:p>
      <w:r>
        <w:t>- 7 -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20 août 2008. Les modifications consécutives à la 5e révision de la LAI n'ont par conséquent pas à être prises en considération dans le présent cas. Cela étant, même si le droit éventuel aux prestations litigieuses doit être examiné, pour la période jusqu'au 31 décembre 2007 au regard des dispositions de la LPGA et des modifications de la LAI, consécutives à la 4e révision, entrée en vigueur le 1er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quelque soit la version de la loi sous laquelle ils ont été posés.</w:t>
      </w:r>
    </w:p>
    <w:p>
      <w:r>
        <w:rPr>
          <w:b/>
        </w:rPr>
        <w:t>E. 3</w:t>
      </w:r>
    </w:p>
    <w:p>
      <w:r>
        <w:t>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w:t>
      </w:r>
    </w:p>
    <w:p>
      <w:r>
        <w:t>- 8 -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w:t>
      </w:r>
    </w:p>
    <w:p>
      <w:r>
        <w:t>- 9 -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rPr>
          <w:b/>
        </w:rPr>
        <w:t>E. 4</w:t>
      </w:r>
    </w:p>
    <w:p>
      <w:r>
        <w:t>En l'espèce, est litigieuse la question du droit de la recourante à des prestations de l'assurance-invalidité, singulièrement son degré d'invalidité. Cette dernière conteste la valeur probante du rapport du SMR du 31 mars 2008. L'intimé considère que la recourante ne présente pas de perte de gain en l'absence d'invalidité, une capacité de travail à 100 % étant reconnue dans une activité adaptée, soit compatible avec ses limitations fonctionnelles. a) Si les différents praticiens s'accordent à dire que la recourante présente une pathologie lombaire, ainsi qu'un syndrome douloureux, ils divergent s'agissant de l'évaluation de la capacité de travail de l'assurée compte tenu des atteintes qu'elle présente. Il y a dès lors lieu de déterminer si le tableau douloureux présenté par l'assurée relève d'une pathologie objectivable sur le plan somatique ou d'un trouble somatoforme douloureux.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w:t>
      </w:r>
    </w:p>
    <w:p>
      <w:r>
        <w:t>- 10 - propre à entraîner une limitation de longue durée de la capacité de travail pouvant conduire à une invalidité (ATF 130 V 353, consid. 2.2.2; TFA du 9 octobre 2001, I 382/00, consid. 2b).</w:t>
      </w:r>
    </w:p>
    <w:p>
      <w:r>
        <w:rPr>
          <w:b/>
        </w:rPr>
        <w:t>E. 5</w:t>
      </w:r>
    </w:p>
    <w:p>
      <w:r>
        <w:t>Pour statuer sur le droit à la rente, l'OAI s'est référé au rapport d'examen clinique rhumato-psychiatrique du 31 mars 2008 établi par les Drs F.________, spécialiste FMH en médecine interne et rhumatologie, et Q.________, spécialiste FMH en psychiatrie. a) Sur le plan somatique, le Dr F.________ a retenu le diagnostic ayant des répercussions sur la capacité de travail de lombo-inguino- sciatalgies bilatérales à prédominance gauche dans le cadre de troubles statiques du rachis avec hernie discale L5-S1 (rapport du 31 mars 2008). Ce diagnostic est corroboré par le Dr B.________ qui a précisé qu'il n'existait pas de substrat neurologique à l'origine des douleurs de la patiente (rapport du 22 juin 2006, p. 9). En effet, ce praticien a estimé que si cette hernie était symptomatique avec répercussions radiculaires, il fallait s'attendre à une souffrance S1 bilatérale, avec douleurs à irradiation postérieure, ce qui n'était pas le cas dans la situation présente (rapport du 22 juin 2006, p.8). Contrairement au Dr F.________, le Dr B.________ ne s'est pas prononcé clairement sur la question de savoir si l'assurée présentait une incapacité de travail tant dans son ancienne activité que dans une activité adaptée. Il a simplement indiqué que la hernie discale L5-S1 n'expliquait pas le tableau actuel et que l'assurée devait être rassurée sur l'absence de pathologie grave sous-jacente, une physiothérapie de mobilisation et de reconditionnement devant être prescrite, parallèlement à une reprise progressive du travail, ceci dès que le tableau douloureux serait un peu atténué, soit à une échéance difficile à déterminer. Il convient de rappeler que le rapport du Dr B.________ a été établi à l'intention de l'assureur perte de gain en cas de maladie et qu'il n'avait donc pas pour objectif principal de déterminer les limitations fonctionnelles de l'assurée, ni sa capacité de travail dans une activité adaptée, contrairement au rapport du Dr F.________. Dès lors, sur la question de la capacité de travail, on ne saurait se fonder sur l'avis du</w:t>
      </w:r>
    </w:p>
    <w:p>
      <w:r>
        <w:t>- 11 - Dr B.________. Le Dr K.________ a également posé un diagnostic identique tout en indiquant que les plaintes débordaient largement la symptomatologie herniaire (rapport du 30 janvier 2007). Enfin, le DrJ.________, médecin traitant de l'assurée, a clairement indiqué que le diagnostic de hernie discale n'avait aucune répercussion sur la capacité de travail de l'assurée (rapport médical du 28 avril 2007). Certes, il a relevé que la lombosciatalgie gauche avait une influence sur la capacité de travail de l'assurée, mais son appréciation est essentiellement fondée sur les plaintes de sa patiente sous la forme de contractures et de raideurs au niveau des lombaires. Par ailleurs, après avoir indiqué un certain nombre de capacités fonctionnelles, il a attesté une capacité de travail de 20 % dans une activité adaptée, sans réellement motiver le taux retenu. Ce praticien a ainsi joué son rôle de médecin chargé de soulager l'expression d'une souffrance, puisque la symptomatologie douloureuse dont il fait état résulte pour l'essentiel des seules plaintes exprimées par la recourante. C'est d'ailleurs, pour cette raison que, de jurisprudence constante, il y a lieu de relativiser l'avis des médecins traitants. Le dossier radiologique constitué, ainsi que les rapports des praticiens précités ne mettent ainsi en évidence aucun substrat anatomique ou biologique cohérent pouvant expliquer les plaintes perpétuelles et réfractaires de l'assurée. Sur le plan médico-théorique, le rapport du Dr F.________ décrit de façon précise les limitations fonctionnelles de l'assurée et se fonde sur une motivation claire et exempte de contradictions quant à la capacité de travail de l'assurée dans une activité adaptée. Les limitations fonctionnelles décrites par le Dr F.________, plus précises que celles retenues par le Dr J.________, ne permettent en effet pas d'envisager la reprise de l'ancienne activité d'aide-infirmière ou femme de chambre. Par contre, il se justifie d'admettre sur le plan somatique une pleine capacité de travail dans une activité adaptée. b) Il convient a présent d'examiner si, à la lumière des critères dégagés par la jurisprudence, le diagnostic de syndrome douloureux persistant posé par les médecins du SMR permet de retenir une invalidité.</w:t>
      </w:r>
    </w:p>
    <w:p>
      <w:r>
        <w:t>- 12 - Comme pour toutes les autres atteintes à la santé psychique, le diagnostic de troubles somatoformes douloureux persistants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w:t>
      </w:r>
    </w:p>
    <w:p>
      <w:r>
        <w:t>- 13 - démonstratives laissent insensible l'expert, ainsi que l'allégation de lourds handicaps malgré un environnement psychosocial intact (ATF 132 V 65 consid. 4.2.2 p. 71; TF 9C-38/2007 du 8 avril 2008, consid. 3.2). Une expertise psychiatrique est, en principe, nécessaire quand il s'agit de se prononcer sur l'incapacité de travail que les troubles somatoformes sont susceptibles d'entraîner. A cet égard, selon le Tribunal fédéral des assurances, la mission de l'expert consiste à apporter une appréciation sur la vraisemblance de l'état douloureux et, le cas échéant, à déterminer si la personne expertisée dispose des ressources psychiques lui permettant de surmonter cet état (ATF 132 V 65). Dans cet arrêt, la Haute Cour a encore rappelé que l'absence de toute comorbidité psychiatrique n'était pas suffisante pour conclure à l'existence d'une capacité de travail, car si ce critère est d'importance, il n'était toutefois pas exclusif (ATF 132 V 73 consid. 5.1). c) En premier lieu, le critère d'une comorbidité ne saurait être retenu. Le Dr Q.________ a ainsi constaté que l'assurée ne présentait aucun signe floride de la série psychotique ou de critère CIM 10 de trouble de la personnalité, mise à part une détresse psychoaffective accompagnant un syndrome douloureux survenu au décours d'une cure de hernie inguinale en octobre 2005. Sur ce point, le Dr Q.________, a écarté tout trouble dépressif, même léger. Il a en outre relevé que l'intéressée ne se plaignait d'aucun antécédent psychiatrique, qu'elle précisait que la détresse accompagnait la douleur et que, sans douleur, elle retrouverait la vie qu'elle avait connue antérieurement et dont elle était très heureuse. Le Dr G.________, psychiatre traitant de l'assurée a retenu un épisode dépressif sévère avec symptômes somatiques (rapport médical du 18 février 2007). Ses constatations sont cependant pratiquement superposables à celles retenues par le Dr Q.________ et ne suffisent dès lors pas à établir l'existence d'une comorbidité d'une acuité et d'une durée importantes pour admettre qu'un effort de volonté en vue de surmonter la douleur et de s'intégrer dans un processus de travail n'est pas exigible de la part de l'assurée. En définitive, l'avis du Dr G.________ constitue seulement une</w:t>
      </w:r>
    </w:p>
    <w:p>
      <w:r>
        <w:t>- 14 - appréciation différente d'une même symptomatologie, à laquelle on ne saurait attribuer une valeur objectivement prépondérante. S'agissant des autres critères consacrés par la jurisprudence en matière de troubles somatoformes douloureux, ils ne sont pas non plus remplis. On rappellera à ce propos qu'ils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(TFA I 225/04 du 6 mars 2006 consid. 4.1). L'expert n'a ainsi pas relevé chez la recourante la présence des autres critères déterminants, à savoir un processus maladif s'étendant sur plusieurs années sans rémission durable, une perte d'intégration sociale dans toutes les manifestations de la vie, un état de santé psychique cristallisé et l'échec aux traitements. Au contraire, la recourante mène une vie sociale relativement normale : elle fait état de solides amitiés, anciennes, des rencontres quotidiennes avec des amis et le fait que, tous les soirs, elle est reçue ou reçoit des amis à dîner. Par ailleurs, elle se lève à 5 heures du matin pour ensuite venir à V_____ en bus à 8h30 afin de rencontrer des camarades, faire des courses et traîner en ville. Elle rentre à midi pour préparer le repas et manger avec l'un de ses gendres, puis en sa compagnie se promène sur les terrasses de café l'après-midi. Au vu de ces affirmations, il y a lieu de retenir qu'il n'y a pas de perte d'intégration sociale "dans toutes les manifestations de la vie"- critère qui est déterminant selon la jurisprudence (ATF 132 V 65 cons. 4.2.2 p. 71, 131 V 49 consid. 1.2 p. 50, 130 V 352 consid. 2.2.3 p. 355). On conclura généralement à l'absence d'une atteinte à la santé ouvrant le droit à des prestations d'assurance, si les limitations liées à l'exercice d'une activité résultent d'une exagération des symptômes ou d'une constellation semblable, soit par exemple une discordance entre les douleurs décrites et le comportement observé (ATF 132 V 65 cons. 4.2.2, p. 71; TF 9C_38/2007 du 8 avril 2008, consid. 3.2). Sur ce point, les experts ont fait état de signes de non organicité selon Waddell, d'une assurée</w:t>
      </w:r>
    </w:p>
    <w:p>
      <w:r>
        <w:t>- 15 - démonstrative mimant des troubles de l'équilibre à la marche (rapport du 31 mars 2008, p. 6); le Dr B.________ d'une déambulation atypique, précautionneuse, avec une boiterie mal systématisée, atypique, voire démonstrative et des manœuvres de Lasègue pseudo-positives (rapport du 22 juin 2006, p.7 et 8). Le Dr G.________, psychiatre traitant, a indiqué dans un courrier du 2 septembre 2009, soit postérieurement à la décision attaquée que l'état de santé psychique de sa patiente était pire que lors du début de sa prise en charge en octobre 2006 et critiquait les conclusions des experts des critères applicables en matière de troubles somatoformes douloureux. On relèvera que le Dr G.________ est le médecin traitant de la recourante de sorte qu'il convient de considérer son avis avec circonspection. En effet, le médecin traitant est généralement enclin, en raison de la relation de confiance qui l'unit à son patient, à prendre parti pour lui en cas de doute (ATF 125 V 351 consid. 3b/cc et les références). Au vu de la différence consacrée par la jurisprudence entre un mandat thérapeutique et un mandat d'expertise (ATF 124 I 170 consid. 4; TF I 113/06 du 7 mars 2007 consid. 4.4), on ne saurait remettre en cause une expertise ordonnée par l'administration ou un juge et procéder à de nouvelles investigations du seul fait qu'un médecin traitant a une opinion contradictoire. Il n'en va différemment que si ce médecin fait état d'éléments objectivement vérifiables ayant été ignorés dans le cadre de l'expertise et qui sont suffisamment pertinents pour remettre en cause les conclusions de l'expert. Tel n'est pas le cas en l'espèce, puisque l'avis médical précité est très succinct, alors que le rapport du SMR expose clairement les motifs pour lesquels d'une part aucun trouble sur le plan psychique ayant une répercussion sur la capacité de travail ne peut être retenu selon la CIM-10 et d'autre part les autres critères dégagés par la jurisprudence en matière de troubles somatoformes douloureux ne sont pas remplis.</w:t>
      </w:r>
    </w:p>
    <w:p>
      <w:r>
        <w:rPr>
          <w:b/>
        </w:rPr>
        <w:t>E. 6</w:t>
      </w:r>
    </w:p>
    <w:p>
      <w:r>
        <w:t>Au vu de l'ensemble des pièces médicales, on doit reconnaître à l'expertise rhumatologique et psychiatrique du SMR pleine valeur probante (ATF 125 V 351 consid. 3a, 122 V 157 consid. 1c et les</w:t>
      </w:r>
    </w:p>
    <w:p>
      <w:r>
        <w:t>- 16 - références). Il n'y a donc pas lieu d'écarter le rapport du SMR pour le seul motif que c'est le service médical régional de l'AI qui l'a établi. On ne relève, du reste, aucune circonstance particulière propre à faire naître un doute sur l'impartialité des Drs F.________ et Q.________. Le rapport des médecins précités se fonde notamment sur le dossier AI, un entretien avec chacun des médecins précités, un examen rhumatologique et finalement une discussion entre les deux praticiens. L'anamnèse de la recourante est décrite de façon circonstanciée : familiale, professionnelle, psychosociale et psychiatrique. Tous les rapports médicaux qui figurent dans le dossier AI de l'assurée ont été analysés. Les Drs F.________ et Q.________ ont pris en considération les plaintes exprimées par l'assurée, y compris s'agissant des troubles douloureux et des problèmes psychiques. Dans ces conditions, force est de constater que la Cour de céans n'a pas de raison suffisante de s'écarter des conclusions des experts, si bien que la mise en œuvre d'une nouvelle expertise s'avère superflue. Il y a dès lors lieu de retenir que le trouble somatoforme douloureux et ses effets peuvent être surmontés par un effort de volonté raisonnablement exigible de la part de la recourante. Aussi, convient-il de nier une incapacité de travail résultant de ce seul diagnostic et de considérer que l'assurée est encore capable d'exercer à temps complet dans une activité adaptée. On relèvera toutefois que la présente appréciation ne préjuge pas, bien entendu, une éventuelle modification des faits déterminants postérieurement à la décision litigieuse (ATF 121 V 366 consid. 1b et les références), pouvant donner droit à une rente si les conditions sont remplies.</w:t>
      </w:r>
    </w:p>
    <w:p>
      <w:r>
        <w:rPr>
          <w:b/>
        </w:rPr>
        <w:t>E. 7</w:t>
      </w:r>
    </w:p>
    <w:p>
      <w:r>
        <w:t>La recourante n'ayant pas contesté la détermination du taux d'invalidité selon la méthode générale de comparaison des revenus, il n'y a pas lieu d'examiner ce point. Vu l'absence d'invalidité selon la méthode précitée, la recourante n'a pas droit à des mesures de réadaptation professionnelle. En effet, le seuil minimum de 20 % environ de la</w:t>
      </w:r>
    </w:p>
    <w:p>
      <w:r>
        <w:t>- 17 - diminution de la capacité de gain fixé par la jurisprudence (ATF 130 V 488, consid. 4.2 p. 490, 124 V 108 consid. 2b p. 110 ss) pour ouvrir le droit à une mesure d'ordre professionnel, n'est pas atteint.</w:t>
      </w:r>
    </w:p>
    <w:p>
      <w:r>
        <w:rPr>
          <w:b/>
        </w:rPr>
        <w:t>E. 8</w:t>
      </w:r>
    </w:p>
    <w:p>
      <w:r>
        <w:t>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600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