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ZD09.029824 vom 11. März 2011</w:t>
      </w:r>
    </w:p>
    <w:p>
      <w:r>
        <w:t>VD Tribunal cantonal, 2011-03-11, FR</w:t>
      </w:r>
    </w:p>
    <w:p>
      <w:r>
        <w:rPr>
          <w:b/>
        </w:rPr>
        <w:t xml:space="preserve">Quelle: </w:t>
      </w:r>
      <w:r>
        <w:t>https://mcp.opencaselaw.ch/entscheid/vd_gerichte_ZD09.029824</w:t>
      </w:r>
    </w:p>
    <w:p>
      <w:r>
        <w:t>FR: VD_GERICHTE ZD09.029824 du 11 mars 2011</w:t>
      </w:r>
    </w:p>
    <w:p>
      <w:r>
        <w:t>IT: VD_GERICHTE ZD09.029824 del 11 marzo 2011</w:t>
      </w:r>
    </w:p>
    <w:p>
      <w:pPr>
        <w:pStyle w:val="Heading2"/>
      </w:pPr>
      <w:r>
        <w:t>Erwägungen</w:t>
      </w:r>
    </w:p>
    <w:p>
      <w:r>
        <w:rPr>
          <w:b/>
        </w:rPr>
        <w:t>E. 6</w:t>
      </w:r>
    </w:p>
    <w:p>
      <w:r>
        <w:t>Sur le fond, la situation médicale du recourant est fondée sur le rapport rhumatologique du 22 décembre 2008, établi par le Dr X.________, spécialiste FMH dans ce domaine, lequel se fonde sur un examen complet, prend en compte les plaintes exprimées et décrit clairement le contexte médical. Les conclusions de ce spécialiste sont claires, exemptes de contradictions et dûment motivées (ATF 125 V 352 consid. 3a). Elles ont donc pleine valeur probante et doivent être suivies. Elles ne sont au demeurant pas contestées par le recourant. Quant au degré d'invalidité, il a été à juste titre déterminé selon la méthode générale de comparaison des revenus (ATF 128 V 30 consid. 1, 104 V 136 consid. 2a et 2b). La jurisprudence retient qu'il faut</w:t>
      </w:r>
    </w:p>
    <w:p>
      <w:r>
        <w:t>- 18 - se référer aux données statistiques pour déterminer le revenu sans invalidité, lorsqu'il n'est pas possible, comme en l'espèce, de déterminer le revenu réalisé en tant qu'indépendant en raison de l'absence de pièces justificatives et de toute comptabilité (cf. TF I 283/03 du 30 décembre 2003 consid. 5). En l'espèce, l'intimé a retenu à juste titre un salaire de 55'900 fr. correspondant à une activité de plâtrier peintre sans formation, ce qui est le cas du recourant. Le revenu d'invalide n'est, quant à lui, pas contesté par le recourant.</w:t>
      </w:r>
    </w:p>
    <w:p>
      <w:r>
        <w:rPr>
          <w:b/>
        </w:rPr>
        <w:t>E. 8</w:t>
      </w:r>
    </w:p>
    <w:p>
      <w:r>
        <w:t>En définitive les moyes du recourant ne sont pas fondés, si bien que la décision attaquée, qui fait une application correcte de la loi, doit être confirmée et le recours rejeté.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(cf. art. 69 al. 1bis LAI). compte tenu de l'ampleur de la procédure, les frais de justice doivent être arrêtés à 450 fr. à la charge du recourant (art. 69 al. 1bis LAI; art. 49 al. 1 LPA- VD), sans qu'il se justifie d'allouer des dépens dès lors que l'intéressé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