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ZD09.017450 vom 2. September 2010</w:t>
      </w:r>
    </w:p>
    <w:p>
      <w:r>
        <w:t>VD Tribunal cantonal, 2010-09-02, FR</w:t>
      </w:r>
    </w:p>
    <w:p>
      <w:r>
        <w:rPr>
          <w:b/>
        </w:rPr>
        <w:t xml:space="preserve">Quelle: </w:t>
      </w:r>
      <w:r>
        <w:t>https://mcp.opencaselaw.ch/entscheid/vd_gerichte_ZD09.017450</w:t>
      </w:r>
    </w:p>
    <w:p>
      <w:r>
        <w:t>FR: VD_GERICHTE ZD09.017450 du 2 septembre 2010</w:t>
      </w:r>
    </w:p>
    <w:p>
      <w:r>
        <w:t>IT: VD_GERICHTE ZD09.017450 del 2 settembre 2010</w:t>
      </w:r>
    </w:p>
    <w:p>
      <w:pPr>
        <w:pStyle w:val="Heading2"/>
      </w:pPr>
      <w:r>
        <w:t>Erwägungen</w:t>
      </w:r>
    </w:p>
    <w:p>
      <w:r>
        <w:rPr>
          <w:b/>
        </w:rPr>
        <w:t>E. 1</w:t>
      </w:r>
    </w:p>
    <w:p>
      <w:r>
        <w:t>Limitations (qualitatives et quantitatives) en relation avec les troubles constatés Au plan physique Cf. spécialiste concerné. Au plan psychique et mental Hors des phases de migraines, Mme T.________ fonctionne normalement. Au plan social Tendance histrionique.</w:t>
      </w:r>
    </w:p>
    <w:p>
      <w:r>
        <w:rPr>
          <w:b/>
        </w:rPr>
        <w:t>E. 2</w:t>
      </w:r>
    </w:p>
    <w:p>
      <w:r>
        <w:t>Influence des troubles sur l'activité exercée jusqu'ici</w:t>
      </w:r>
    </w:p>
    <w:p>
      <w:r>
        <w:rPr>
          <w:b/>
        </w:rPr>
        <w:t>E. 2.1</w:t>
      </w:r>
    </w:p>
    <w:p>
      <w:r>
        <w:t>Comment agissent ces troubles sur l’activité exercée jusqu’ici ? Maximum une incapacité de travail de 30 % dans ses activités habituelles lors de ses phases migraineuses. Sinon, Mme T.________ peut travailler à 100 %.</w:t>
      </w:r>
    </w:p>
    <w:p>
      <w:r>
        <w:rPr>
          <w:b/>
        </w:rPr>
        <w:t>E. 2.2</w:t>
      </w:r>
    </w:p>
    <w:p>
      <w:r>
        <w:t>Description précise de la capacité résiduelle de travail Cf. ci-dessus.</w:t>
      </w:r>
    </w:p>
    <w:p>
      <w:r>
        <w:rPr>
          <w:b/>
        </w:rPr>
        <w:t>E. 2.3</w:t>
      </w:r>
    </w:p>
    <w:p>
      <w:r>
        <w:t>L’activité exercée jusqu’ici est-elle encore exigible ? Si oui, dans quelle mesure (heures par jour)? Oui.</w:t>
      </w:r>
    </w:p>
    <w:p>
      <w:r>
        <w:rPr>
          <w:b/>
        </w:rPr>
        <w:t>E. 2.4</w:t>
      </w:r>
    </w:p>
    <w:p>
      <w:r>
        <w:t>Y a-t-il une diminution du rendement ? Si oui, dans quelle mesure ? Non.</w:t>
      </w:r>
    </w:p>
    <w:p>
      <w:r>
        <w:rPr>
          <w:b/>
        </w:rPr>
        <w:t>E. 2.5</w:t>
      </w:r>
    </w:p>
    <w:p>
      <w:r>
        <w:t>Depuis quand, au point de vue médical, y a-t-il une incapacité de travail de 20 % au moins ? L’assurée souffre de migraines au moins depuis 1998.</w:t>
      </w:r>
    </w:p>
    <w:p>
      <w:r>
        <w:rPr>
          <w:b/>
        </w:rPr>
        <w:t>E. 2.6</w:t>
      </w:r>
    </w:p>
    <w:p>
      <w:r>
        <w:t>Comment le degré d’incapacité de travail a-t-il évolué depuis lors ? Semble avoir été plutôt favorable en 2007.</w:t>
      </w:r>
    </w:p>
    <w:p>
      <w:r>
        <w:rPr>
          <w:b/>
        </w:rPr>
        <w:t>E. 3</w:t>
      </w:r>
    </w:p>
    <w:p>
      <w:r>
        <w:t>En raison de ses troubles psychiques, l’assuré(e) est-il (elle) capable de s’adapter à son environnement professionnel ? Oui, elle peut s’adapter à une activité de nettoyage. […]</w:t>
      </w:r>
    </w:p>
    <w:p>
      <w:r>
        <w:t>- 8 - Dans un avis médical du 17 mars 2009, les Drs B.________ et F.________ du SMR, ont évalué cette expertise et fourni l'appréciation suivante : "Nous proposons de retenir une IT de 30 % (exigibilité de 70 %) dans l'activité habituelle ou dans toute autre activité à la portée des compétences de l'assurée, en nous basant sur les conclusions de l'expert, qui sont bien motivées. Rappelons pour mémoire qu'en avril 2002 nous avions retenu une exigibilité de 75 % en raison des migraines. La médecine n'est pas une science exacte ; une différence de 5 % dans l'exigibilité peut raisonnablement être considérée comme peu significative. L'exigibilité fixée par le Dr K.________ est étayée, elle prend en compte l'ensemble de la pathologie, à savoir les migraines et leur retentissement psychologique en période de crises". L’OAI a rendu sa décision formelle de refus de prestations le 20 mars 2009. Il a maintenu, comme dans son préavis, qu’il n’y avait pas de nouveaux éléments médicaux justifiant une incapacité de travail d’au moins 40 %. D. Agissant par la voie du recours de droit administratif (selon un mémoire de son avocat du 11 mai 2009), T.________ demande à la Cour des assurances sociales du Tribunal cantonal d’annuler la décision de l’OAI du 20 mars 2009 puis de constater qu’elle est invalide au sens de la LAI (loi fédérale du 19 juin 1959 sur l'assurance-invalidité, RS 831.20), de la mettre au bénéfice d’une rente complète d’invalidité à compter du 14 juillet 2006, de déterminer le montant de la rente en tenant compte de sa situation professionnelle et familiale, subsidiairement de renvoyer la cause à l’OAI afin qu’il en détermine le montant. Elle critique à plusieurs égards le rapport d’expertise du Dr K.________ et se plaint d’une violation de l’art.</w:t>
      </w:r>
    </w:p>
    <w:p>
      <w:r>
        <w:rPr>
          <w:b/>
        </w:rPr>
        <w:t>E. 4</w:t>
      </w:r>
    </w:p>
    <w:p>
      <w:r>
        <w:t>Le recours doit par conséquent être rejeté, ce qui entraîne la confirmation de la décision attaquée. La recourante, qui succombe, supporte les frais de justice (art. 69 al. 1bis LAI ; cf. aussi art. 49 al. 1 LPA-VD et art. 2 al. 1 TFJAS [tarif des frais judiciaires et des dépens en matière de droit des assurances sociales, RSV 173.36.5.2]), dont une avance de 500 fr. a d'ores et déjà été effectuée. Elle n'a pas droit à des dépens (art. 55 LPA-VD). Par ces motifs,</w:t>
      </w:r>
    </w:p>
    <w:p>
      <w:r>
        <w:t>- 15 - la Cour des assurances sociales p r o n o n c e : I. Le recours est rejeté. II. La décision rendue le 20 mars 2009 par l'Office de l'assurance- invalidité pour le canton de Vaud est confirmée. III. Les frais judiciaires, arrêtés à 500 fr. (cinq cents francs), sont mis à la charge de la recourante T.________. IV. Il n'est pas alloué de dépens. Le président : La greffière : Du L'arrêt qui précède, dont la rédaction a été approuvée à huis clos, est notifié à : - Me Madjid Lavassani, avocat (pour T.________) - Office de l'assurance-invalidité pour le canton de Vaud - Office fédéral des assurances sociales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