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ZD09.017302 vom 12. Mai 2011</w:t>
      </w:r>
    </w:p>
    <w:p>
      <w:r>
        <w:t>VD Tribunal cantonal, 2011-05-12, FR</w:t>
      </w:r>
    </w:p>
    <w:p>
      <w:r>
        <w:rPr>
          <w:b/>
        </w:rPr>
        <w:t xml:space="preserve">Quelle: </w:t>
      </w:r>
      <w:r>
        <w:t>https://mcp.opencaselaw.ch/entscheid/vd_gerichte_ZD09.017302</w:t>
      </w:r>
    </w:p>
    <w:p>
      <w:r>
        <w:t>FR: VD_GERICHTE ZD09.017302 du 12 mai 2011</w:t>
      </w:r>
    </w:p>
    <w:p>
      <w:r>
        <w:t>IT: VD_GERICHTE ZD09.017302 del 12 maggio 2011</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et prévoit à cet égard la compétence de la cour des assurances sociales du Tribunal cantonal (art. 93 al. 1 let. a LPA-VD). c) Interjeté en temps utile – compte tenu des féries judiciaires de Pâques (art. 38 al. 4 let. a LPGA) – auprès du tribunal compétent et satisfaisant aux autres conditions de forme prévues par la loi (art. 61 let. b LPGA), le recours est recevable. d) S'agissant d'une contestation relative à une demande de révision tendant à l'octroi d'une rente entière d’invalidité en lieu et place d’une demi-rente, la valeur litigieuse est manifestement supérieure à 30'000 fr., de sorte que la cause doit être tranchée par la cour composée de trois magistrats (art. 83c al. 1 LOJV [loi cantonale vaudoise d'organisation judiciaire du 12 décembre 1979 ; RSV 173.01]) et non par un juge unique (cf. art. 94 al. 1 let. a LPA-VD).</w:t>
      </w:r>
    </w:p>
    <w:p>
      <w:r>
        <w:rPr>
          <w:b/>
        </w:rPr>
        <w:t>E. 2</w:t>
      </w:r>
    </w:p>
    <w:p>
      <w:r>
        <w:t>a) Le litige porte sur la détermination du taux d'invalidité de X.________, dans le cadre de sa demande de révision de sa demi-rente</w:t>
      </w:r>
    </w:p>
    <w:p>
      <w:r>
        <w:t>- 9 - d'invalidité. La recourante affirme être totalement incapable de travailler depuis novembre 2006 et donc avoir droit désormais à une rente entière d'invalidité. L'office intimé soutient quant à lui que le taux d'invalidité de 50 % présenté par la recourante depuis 1996 est toujours resté constant. b) Les principes généraux en matière de droit intertemporel, selon lesquels ont applique, en cas de changement de règles de droit, la législation en vigueur lors de la réalisation de l'état de fait qui doit être apprécié juridiquement ou qui a des conséquences juridiques, sous réserve de dispositions particulières de droit transitoire, sont valables dans le domaine des assurances sociales (ATF 130 V 329, consid. 2.2 et 2.3 ; 130 V 445 ; 127 V 466, consid. 1 ; TF 9C_852/2009 du 28 juin 2010, consid. 5). Cela étant, même si le droit éventuel aux prestations litigieuses doit être examiné, pour la période jusqu'au 31 décembre 2007, au regard notamment des modifications de la LAI consécutives à la 4e révision, entrée en vigueur le 1er janvier 2004, et pour la suite au regard des modifications de la LAI consécutives à la 5e révision de cette loi, entrées en vigueur le 1er janvier 2008, les principes développés jusqu'à ce jour par la jurisprudence en matière d'évaluation de l'invalidité conservent leur pertinence, quelle que soit la version de la loi sous laquelle ils ont été posés.</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- 10 - Selon l'art. 28 al. 2 LAI, dans sa teneur en vigueur depuis le 1er janvier 2008 (anciennement art. 28 al. 1 LAI), l'assuré a droit à un quart de rente s'il est invalide à 40% au moins, à une demi-rente s'il est invalide à 50% au moins, à trois-quarts de rente s'il est invalide à 60% au moins et à une rente entière s'il est invalide à 70% au moins. D'après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Si le taux d’invalidité du bénéficiaire de la rente subit une modification notable, la rente est, d’office ou sur demande, révisée pour l’avenir, à savoir augmentée ou réduite en conséquence, ou encore supprimée (art. 17 al. 1 LPGA). Aux termes de l'art. 88a al. 2 RAI (règlement du 17 janvier 1961 sur l'assurance-invalidité ; RS 831.201), si l’incapacité de gain ou la capacité d’accomplir les travaux habituels découlant de l’invalidité d’un assuré s’aggrave, il y a lieu de considérer que ce changement accroît, le cas échéant, son droit aux prestations, dès qu’il a duré trois mois sans interruption notable. Selon la jurisprudence, tout changement important des circonstances propres à influencer le degré d’invalidité, et donc le droit à la rente, peut motiver une révision ;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une comparaison des revenus conformes au droit et les circonstances régnant à l'époque de la décision litigieuse (ATF 133 V 108, consid. 5 ; 130 V 343, consid. 3.5.2 ; 125 V 368, consid. 2). c) En l'espèce, il n'est pas contesté par l'office intimé que l'état de santé de la recourante a évolué depuis le 13 octobre 2006, date</w:t>
      </w:r>
    </w:p>
    <w:p>
      <w:r>
        <w:t>- 11 - de la dernière décision entrée en force confirmant son droit à une demi- rente d'invalidité, dans la mesure où une fibromyalgie a été diagnostiquée pour la première fois par son médecin traitant en décembre 2006. Cette affection serait en effet apparue, selon ce praticien, après le licenciement de l'assurée, en novembre 2006. Cela étant, il convient de déterminer si ce nouveau diagnostic influe d'une quelconque manière sur la capacité de travail de la recourante et partant sur son degré d'invalidité.</w:t>
      </w:r>
    </w:p>
    <w:p>
      <w:r>
        <w:rPr>
          <w:b/>
        </w:rPr>
        <w:t>E. 4</w:t>
      </w:r>
    </w:p>
    <w:p>
      <w:r>
        <w:t>a) Parmi les atteintes à la santé psychique qui peuvent provoquer une invalidité au sens des normes en vigueur lors de l'état de fait qui doit être apprécié dans le cas d'espèce, il faut mentionner — outre les maladies mentales proprement dites — les anomalies psychiques qui équivalent à des maladies. Pour déterminer si une atteinte à la santé psychique entraîne une invalidité, il faut établir si et dans quelle mesure un assuré peut, malgré une atteinte à sa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b)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 TF 9C_547/2008 du 19 juin 2009, consid. 2.2). Le caractère non exigible de la réintégration dans le processus de travail peut résulter de facteurs déterminés qui, par leur</w:t>
      </w:r>
    </w:p>
    <w:p>
      <w:r>
        <w:t>- 12 -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Internationale Klassification psychischer Störungen, lCD-10 Kapitel V,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w:t>
      </w:r>
    </w:p>
    <w:p>
      <w:r>
        <w:t>- 13 -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w:t>
      </w:r>
    </w:p>
    <w:p>
      <w:r>
        <w:rPr>
          <w:b/>
        </w:rPr>
        <w:t>E. 5</w:t>
      </w:r>
    </w:p>
    <w:p>
      <w:r>
        <w:t>a) Pour pouvoir se prononcer sur l'éventuelle existence et le degré d'une 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- 14 - médical et l’appréciation de la situation médicale soient claires et enfin que les conclusions de l’expert soient dûment motivées (ATF 134 V 231, consid. 5.1). En particulier, la jurisprudence reconnaît qu’un rapport qui émane d’un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 b) En l’occurrence, la recourante a fait l’objet d’un examen bidisciplinaire (rhumatologique et psychiatrique) au SMR en date du 8 septembre 2008. Le rapport d'examen du 7 octobre 2008 (cf. supra, let. B.c) contient une anamnèse qui apparaît complète et détaillée, tout comme les examens pratiqués sur la recourante, dont les plaintes (notamment les douleurs, spasmes et tremblements, ainsi que les problèmes de mémoire, de concentration et d'élocution) sont par ailleurs dûment rapportées et investiguées. Certes, la recourante fait valoir que les médecins du SMR n'auraient pas tenu compte du fait qu'elle avait pris des médicaments pour se sentir mieux lors de cet examen, raison pour laquelle son état à ce moment-là n'aurait pas été aussi mauvais que d'habitude. Ce grief ne doit toutefois pas être retenu. En effet, les médecins du SMR ont bien établi, dans leur rapport, la liste des médicaments pris régulièrement par la recourante. Par ailleurs, on relèvera à ce propos le raisonnement contradictoire de cette dernière, qui allègue elle-même dans son mémoire de recours du 8 mai 2009 (cf. supra, let. D.a) que les médicaments pris "ne lui apportent que très peu de réconfort", et qu'elle "s'est sentie très mal durant l'entrevue".</w:t>
      </w:r>
    </w:p>
    <w:p>
      <w:r>
        <w:t>- 15 - Au vu de ce qui précède, il convient de retenir que les critères posés par la jurisprudence pour reconnaître une pleine valeur probante à un rapport médical (cf. supra, consid. 5.a) sont remplis dans le cas du rapport du SMR du 7 octobre 2008, dont les conclusions sont claires et longuement motivées. Or il résulte du volet psychiatrique de cet examen que l’assurée ne présente pas de comorbidité psychiatrique suffisante au sens de la jurisprudence. On ne retrouve en effet chez la recourante aucune perte d’intégration sociale : cette dernière part en vacances, vit avec un ami et a des contacts réguliers avec sa fille et des amis. Aucun état psychique cristallisé ne découle de l’expertise, le diagnostic de fibromyalgie n'étant que relativement récent. Quant aux autres critères posés par la jurisprudence pour pouvoir considérer la fibromyalgie d'un assuré comme une affection invalidante (cf. supra, consid. 4.b), ils ne sont pas non plus réunis, ou à tout le moins pas avec une intensité suffisante. Par ailleurs, les médecins du SMR ont parfois remarqué une discordance entre les plaintes décrites par la recourante et son comportement (par exemple : « Mme X.________ insiste beaucoup pour son manque de force dans les MS et les MI, avec d'importants troubles de la marche. Ceux-ci n'ont pas pu être objectivés, notamment lorsque, fortuitement, l'assurée a pu être observée marchant dans la rue. »). De plus, il convient de souligner que la recourante, qui se plaint d'affections de nature psychiatrique, n'a pourtant jamais débuté de suivi auprès d'un psychiatre. D'autre part, il est à relever, au vu de la jurisprudence précitée concernant les médecins traitants (cf. supra, consid. 5.a in fine), que l'appréciation des médecins du SMR ne saurait être remise en cause par les rapports établis par le Dr T.________, médecin traitant de la recourante (cf. supra, let. B.a et B.b), qui ne détiennent pas la même valeur probante, dès lors que ce médecin n'est ni psychiatre ni rhumatologue et qu'il n'a motivé ses rapports que de façon sommaire.</w:t>
      </w:r>
    </w:p>
    <w:p>
      <w:r>
        <w:rPr>
          <w:b/>
        </w:rPr>
        <w:t>E. 6</w:t>
      </w:r>
    </w:p>
    <w:p>
      <w:r>
        <w:t>a) Il résulte de ce qui précède que c'est à juste titre que l'OAI a estimé que la fibromyalgie dont souffre la recourante depuis 2006 ne</w:t>
      </w:r>
    </w:p>
    <w:p>
      <w:r>
        <w:t>- 16 - possède pas de caractère invalidant au sens de la jurisprudence. En définitive, le recours se révèle entièrement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 49 al. 1 LPA-VD). Il n'y a pas lieu d'allouer de dépens, la recourante n'obtenant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