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ZD09.016951 vom 21. April 2010</w:t>
      </w:r>
    </w:p>
    <w:p>
      <w:r>
        <w:t>VD Tribunal cantonal, 2010-04-21, FR</w:t>
      </w:r>
    </w:p>
    <w:p>
      <w:r>
        <w:rPr>
          <w:b/>
        </w:rPr>
        <w:t xml:space="preserve">Quelle: </w:t>
      </w:r>
      <w:r>
        <w:t>https://mcp.opencaselaw.ch/entscheid/vd_gerichte_ZD09.016951</w:t>
      </w:r>
    </w:p>
    <w:p>
      <w:r>
        <w:t>FR: VD_GERICHTE ZD09.016951 du 21 avril 2010</w:t>
      </w:r>
    </w:p>
    <w:p>
      <w:r>
        <w:t>IT: VD_GERICHTE ZD09.016951 del 21 aprile 2010</w:t>
      </w:r>
    </w:p>
    <w:p>
      <w:pPr>
        <w:pStyle w:val="Heading2"/>
      </w:pPr>
      <w:r>
        <w:t>Erwägungen</w:t>
      </w:r>
    </w:p>
    <w:p>
      <w:r>
        <w:rPr>
          <w:b/>
        </w:rPr>
        <w:t>E. 1</w:t>
      </w:r>
    </w:p>
    <w:p>
      <w:r>
        <w:t>Dysthymie (F34.1 CIM 10),</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droit éventuel du recourant à une rente d'invalidité, singulièrement sur le point de savoir si, comme l'a retenu l'OAI, le recourant présente une capacité de travail entière dans une activité adaptée à ses limitations fonctionnelles. c) Il sied de rappeler d'emblée que selon une jurisprudence constante, le juge des assurances sociales apprécie la légalité des décisions attaquées d'après l'état de fait existant au moment où la décision litigieuse a été rendue (ATF 121 V 362 consid. 1b p. 366, 116 V 246 consid. 1a p. 248 et les références; cf. encore TF 9C_81/2007 du 21 février 2008, consid. 2.4, et 9C_397/2007 du 14 mai 2008, consid. 2.1). Les faits survenus postérieurement et ayant modifié cette situation doivent normalement faire l'objet d'une nouvelle décision administrative (ATF 121 V 362 consid. 1 p. 366, 117 V 287 consid. 4 p. 293 et les références; cf. encore TF 9C_81/2007 du 21 février 2008, consid. 2.4, et 9C_397/2007 du 14 mai 2008, consid. 2.1), sauf s'ils sont étroitement liés à l'objet du litige et de nature à influencer l'appréciation au moment où la</w:t>
      </w:r>
    </w:p>
    <w:p>
      <w:r>
        <w:t>- 15 - décision attaquée a été rendue (ATF 99 V 98 consid. 4 et les arrêts cités; TF 9C_449/2007 du 28 juillet 2008, consid. 2.2; TF 9C_931/2008 du 8 mai 2009, consid. 4.3).</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 rente, un degré d'invalidité de 60 % au moins donne droit à un trois-quarts de rente et un degré d'invalidité de 70 %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w:t>
      </w:r>
    </w:p>
    <w:p>
      <w:r>
        <w:t>- 16 -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w:t>
      </w:r>
    </w:p>
    <w:p>
      <w:r>
        <w:t>- 17 - d'un expert qu'à celles du médecin traitant (ATF 125 V 351 consid. 3b/cc et les références citées; VSI 2001 p. 106 consid. 3b/bb et cc; TF I 554/01 du 19 avril 2002 consid. 2a).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ces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c) En l'espèce, sur le plan psychiatrique, le rapport d'expertise du Dr D.________ du 27 mai 2008 (cf. lettre A.d supra), clair et complet, satisfait à toutes les exigences posées par la jurisprudence pour qu'une pleine valeur probante puisse lui être accordée. En effet, il se base sur une anamnèse complète, les pièces médicales figurant au dossier et se fonde sur des examens complets, une appréciation médicale claire ainsi que des conclusions étayées et dûment motivées. Ce rapport retient les diagnostics, n'ayant jamais eu de répercussion sur la capacité de travail, de dysthymie (F34.1) et de trouble anxieux sans précision (F41.9), et décrit clairement le caractère réactionnel de ces troubles par rapport aux atteintes somatiques. Aucun élément du dossier ne jette le moindre doute sur les conclusions de cette expertise, réalisée dans les règles de l'art. Au contraire, le psychiatre traitant du recourant, le Dr F.________, a indiqué dans sa lettre du 22 janvier 2009 (cf. lettre B.b supra) que les conclusions de l'expertise psychiatrique du Dr D.________ concordaient avec ses propres observations cliniques et que la pathologie psychiatrique de l'assuré n'entraînait pas en elle-même d'invalidité. Dans son dernier certificat médical du 31 août 2009 (cf. lettre C.c supra), le Dr F.________ a encore confirmé que le recourant continuait de présenter une</w:t>
      </w:r>
    </w:p>
    <w:p>
      <w:r>
        <w:t>- 18 - symptomatologie correspondant à celle décrite par le Dr D.________ dans son rapport d'expertise du 27 mai 2008 et que les considérations de cet expert concernant les diagnostics et leur impact sur la capacité de travail restaient pleinement valables. Force est ainsi de constater que la capacité de travail du recourant n'est aucunement limitée sur le plan psychiatrique. d) Sur le plan orthopédique, l'OAI avait mandaté le Dr T.________, spécialiste FMH en chirurgie orthopédique, pour une expertise orthopédique. Dans son rapport d'expertise du 1er septembre 2003 (cf. lettre A.a supra), laquelle remplit toutes les conditions pour se voir accorder une pleine valeur probante et avait abouti à une décision de refus de rente du 21 octobre 2004 qui n'avait pas été contestée par l'assuré (cf. lettre A.b supra), cet expert a posé les diagnostics ayant une répercussion sur la capacité de travail de coxarthrose gauche symptomatique d’origine dysplasique – en précisant que le stade d’arthrose avait été atteint en 1997 et que depuis lors, l’évolution radiologique était très lente, voire stationnaire – et de dysplasie de la hanche droite asymptomatique; en raison de ces atteintes, l'assuré présentait des limitations pour soulever des charges lourdes, ainsi que pour effectuer des déplacements à pied, dans les terrains en pente ou dans les escaliers, toute surcharge de la hanche gauche engendrant une décompensation douloureuse et invalidante (voir aussi l'avis médical SMR du 18 mai 2004 établi par le Dr S.________; cf. lettre A.b supra). Il résulte des pièces médicales au dossier que le diagnostic et les limitations fonctionnelles décrits par l'expert T.________ sont toujours valables et qu'il n'y a pas de nouvelle atteinte à la santé sur le plan somatique. Tout en faisant état d'une aggravation sur le plan radiologique, le Dr M.________, médecin traitant généraliste, dans sa lettre du 5 janvier 2009 (cf. lettre B.b supra), justifie son appréciation (inchangée) d'une capacité de travail exigible de 50 % dans une activité adaptée par l'absence d'amélioration de l'état de santé du recourant. Les certificats ultérieurs de ce médecin, des 22 avril 2009 et 31 août 2009 (cf. lettres C.a et C.c supra), n'apportent pas d'élément nouveau. On ajoutera également que le Dr M.________ est le médecin traitant de l'assuré, de sorte que son</w:t>
      </w:r>
    </w:p>
    <w:p>
      <w:r>
        <w:t>- 19 - avis doit être apprécié avec les réserves d'usage compte tenu de la jurisprudence précitée. Dans son certificat médical du 20 août 2009 (cf. lettre C.c supra), le Dr R.________, spécialiste FMH en chirurgie orthopédique et traumatologie de l'appareil locomoteur, indique que le recourant est connu du service d’orthopédie-traumatologie du CHUV depuis février 2007 pour une coxarthrose gauche sur dysplasie de hanches, limitant les efforts et douloureuse, et qu'il présente une coxarthrose gauche secondaire avancée entraînant des douleurs, une limitation fonctionnelle, une boiterie et nécessitant la prise de médicaments lourds; ce praticien précise que du point de vue professionnel, on peut donc rétrospectivement dire que, durant ces deux dernières années, le patient ne pouvait pas avoir une activité lucrative dans un emploi lourd, avec ports de charges, marches, déplacements, terrains inégaux, sols mouillés, etc. Or ces limitations fonctionnelles correspondent à celles retenues en 2004 déjà (cf. lettre A.b supra), sur la base de l'expertise du Dr T.________ (cf. lettre A.a supra). Il ressort en effet de l'avis médical SMR du 13 mars 2009 du Dr C.________ (cf. lettre B.c supra) que l'évolution de l'arthrose des hanches, prédominante à gauche, d’origine dysplasique, dont souffre le recourant et qui a été diagnostiquée depuis 1997, est l’évolution normale d’une coxarthrose, qui ne peut être stoppée que par l'implantation d’une prothèse de hanche; dès lors que les limitations fonctionnelles décrites en 2004 déjà excluent toutes les activités contraignantes pour les articulations et ne changent pas quel que soit le degré de sévérité de la coxarthrose, l'exigibilité dans une activité adaptée à ces limitations n’a donc pas de raison d’être revue à la baisse. Ainsi, force est de constater, comme l'a fait le Dr C.________ dans son avis médical SMR du 13 mars 2009, qu'il n'y a aucune raison de pratiquer un nouvel examen spécialisé sur le plan somatique tant qu’il n’y a pas de fait médical nouveau, s’agissant d’une affection dont l’évolution est parfaitement connue et prévisible; le seul fait que la dernière évaluation spécialisée date de plus de cinq ans ne saurait justifier un nouvel examen.</w:t>
      </w:r>
    </w:p>
    <w:p>
      <w:r>
        <w:t>- 20 - e) Il ressort des pièces produites par le recourant – plus précisément d'une télécopie du Dr M.________ du 28 octobre 2009 et surtout d'un courrier du Dr R.________ du 26 octobre 2009 (cf. lettre C.e supra) – que celui-ci a bénéficié le 13 octobre 2009, soit plus de six mois après que la décision attaquée a été rendue, d'une arthroplastie totale de la hanche gauche, dont le bénéfice fonctionnel réel devait pouvoir être évalué trois à six mois après l'intervention. Comme le relève à juste titre l'OAI dans ses observations du 26 novembre 2009 (cf. lettre C.e supra), l'intervention subie le 13 octobre 2009 par le recourant, en particulier les conséquences liées à la phase postopératoire, constitue un fait nouveau qui ne peut être pris en compte dans le cadre du recours dirigé contre la décision du 23 mars 2009, mais devra l'être le cas échéant dans le cadre d'une nouvelle demande (cf. consid. 2c supra).</w:t>
      </w:r>
    </w:p>
    <w:p>
      <w:r>
        <w:rPr>
          <w:b/>
        </w:rPr>
        <w:t>E. 4</w:t>
      </w:r>
    </w:p>
    <w:p>
      <w:r>
        <w:t>a) En définitive, la décision attaquée échappe à la critique en tant qu'elle retient que le recourant présentait, à la date déterminante où elle a été rendue (cf. consid. 2c supra), une capacité de travail raisonnablement exigible de 100 % dans une activité adaptée à ses limitations fonctionnelles – telles que retenues en 2004 déjà et qui sont demeurées inchangées depuis lors (cf. consid. 3d supra) –, qui lui permettait de mettre en valeur une capacité de gain excluant le droit à la rente. Par conséquent,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