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ZD09.016517 vom 24. Februar 2012</w:t>
      </w:r>
    </w:p>
    <w:p>
      <w:r>
        <w:t>VD Tribunal cantonal, 2012-02-24, FR</w:t>
      </w:r>
    </w:p>
    <w:p>
      <w:r>
        <w:rPr>
          <w:b/>
        </w:rPr>
        <w:t xml:space="preserve">Quelle: </w:t>
      </w:r>
      <w:r>
        <w:t>https://mcp.opencaselaw.ch/entscheid/vd_gerichte_ZD09.016517</w:t>
      </w:r>
    </w:p>
    <w:p>
      <w:r>
        <w:t>FR: VD_GERICHTE ZD09.016517 du 24 février 2012</w:t>
      </w:r>
    </w:p>
    <w:p>
      <w:r>
        <w:t>IT: VD_GERICHTE ZD09.016517 del 24 febbraio 2012</w:t>
      </w:r>
    </w:p>
    <w:p>
      <w:pPr>
        <w:pStyle w:val="Heading2"/>
      </w:pPr>
      <w:r>
        <w:t>Erwägungen</w:t>
      </w:r>
    </w:p>
    <w:p>
      <w:r>
        <w:rPr>
          <w:b/>
        </w:rPr>
        <w:t>E. 1</w:t>
      </w:r>
    </w:p>
    <w:p>
      <w:r>
        <w:t>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en matière de décision de l'assurance-invalidité (art. 69 al. 1 let. a LAI) – sont sujettes à recours devant le tribunal des assurances compétent (art. 56 LPGA et 69 al. 1 let. a LAI). Le recours doit être déposé dans les trente jours qui suivent la notification de la décision sujette à recours (art. 60 al. 1 LPGA). En l'espèce, le recours interjeté en temps utile au vu des féries pascales (cf. art. 38 al. 4 LPGA, applicable par analogie en vertu de l'art. 60 al. 2 LPGA), devant le tribunal compétent (cf. art. 93 al. 1 let. a LPA-VD [loi cantonale vaudoise du 28 octobre 2008 sur la procédure administrative; RSV 173.36]), est au surplus recevable à la forme (cf. art. 61 let. b LPGA). Il y a ainsi lieu d'entrer en matière sur le fond.</w:t>
      </w:r>
    </w:p>
    <w:p>
      <w:r>
        <w:rPr>
          <w:b/>
        </w:rPr>
        <w:t>E. 2</w:t>
      </w:r>
    </w:p>
    <w:p>
      <w:r>
        <w:t>Le litige porte sur le droit de la recourante à une rente d'invalidité. Elle conteste en particulier l'appréciation de sa capacité de travail résiduelle dans une activité adaptée, faisant valoir que l'avis de son médecin traitant, le Dr U.________, contredit celui des médecins du SMR. Elle demande à titre de mesure d'instruction la mise sur pied d'un stage dans un centre Orif-COPAI afin d'évaluer plus précisément le type et le taux d'activité compatibles avec ses limitations fonctionnelles, ainsi que son rendement effectif dans l'activité exigible. Elle fait finalement valoir que l'OAI n'a pas instruit au sujet de la péjoration de son état de santé qu'elle a alléguée (tension artérielle élevée) et que le coordinateur emploi de l'OAI a relevée, lors de l'entretien qu'elle a eu avec ce dernier le 26 février 2009.</w:t>
      </w:r>
    </w:p>
    <w:p>
      <w:r>
        <w:t>- 13 -</w:t>
      </w:r>
    </w:p>
    <w:p>
      <w:r>
        <w:rPr>
          <w:b/>
        </w:rPr>
        <w:t>E. 3</w:t>
      </w:r>
    </w:p>
    <w:p>
      <w:r>
        <w:t>a) aa) Selon le droit fédéral, est réputée invalidité l'incapacité de gain totale ou partielle qui est présumée permanente ou de longue durée résultant d'une infirmité congénitale, d'une maladie ou d'un accident (art. 8 LPGA et art. 4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raisonnablement exigée de l'assuré peut aussi relever d'une autre profession ou d'un autre domaine d'activité. Selon l'art. 28 al. 1 LAI, l'assuré à droit à une rente d'invalidité s'il remplit les trois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Pour calculer le taux d'invalidité, l'administration ou le juge en cas de recours, a besoin de documents que les médecins, éventuellement aussi d'autres spécialistes doivent lui fournir. La tâche du médecin consiste à porter un jugement sur l'état de santé de la personne assurée et à indiquer dans quelle proportion et pour</w:t>
      </w:r>
    </w:p>
    <w:p>
      <w:r>
        <w:t>- 14 -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bb)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133 V 450, consid. 11.1.3; ATF 125 V 351, consid. 3a; TF 9C_773/2007 du 23 juin 2008, consid. 2.1; TF 9C_168/2007 du 8 janvier 2008, consid. 4.2; TF 8C_862/2008 du 19 août 2009, consid. 4.2). En particulier, la jurisprudence reconnaît qu'un rapport qui émane d'un service médical régional au sens de l'art. 69 al. 4 RAI (Règlement du 17 janvier 1961 sur l'assurance-invalidité ; RS 831.01), a une valeur probante s'il remplit les exigences requises par la jurisprudence (TF I 573/04 du 10 novembre 2005, consid. 5.5; TF I 523/02 du 28 octobre 2002, consid.</w:t>
      </w:r>
    </w:p>
    <w:p>
      <w:r>
        <w:t>- 15 - 3).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Par ailleurs, dans une procédure portant sur l'octroi et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se saurait être tranchée en se fondant sur l'un ou l'autre de ces avis et il y a lieu de mettre en œuvre une expertise par un médecin indépendant selon la procédure de l'art. 44 LPGA ou une expertise judiciaire (ATF 135 V 465; TF 8C_456/2010 du 19 avril 2011, consid. 3) Dans le domaine des assurances sociales, le juge fonde généralement son appréciation sur des faits qui, faute d'être établis de manière irréfutable, apparaissent comme les plus vraisemblables, c'est-à-dire qui présentent un degré de vraisemblance prépondérante. Il ne suffit donc pas qu'un fait puisse être considéré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b) En l'espèce, tant les médecins du SMR, que la Dresse T.________ (laquelle a suivi la recourante du mois de mai au mois d'août 2007) et le Dr U.________, médecin traitant depuis 2007, ont</w:t>
      </w:r>
    </w:p>
    <w:p>
      <w:r>
        <w:t>- 16 - estimé que la recourante ne pourrait plus exercer son activité habituelle de dame de buffet en raison des atteintes à sa santé physique. Ont été diagnostiqués: une gonarthrose droite débutante, des troubles statiques et dégénératifs modérés du rachis, une gonarthrose fémoro-tibiale, une arthose tibio-astragalienne et une arthrose modérée de l'articulation acromio-claviculaire droite (cf. rapport détaillé de l'examen clinique rhumatologique et psychiatrique du SMR du 12 juin 2008; voir également rapport médical de la Dresse T.________ du 21 avril 2008, laquelle a diagnostiqué comme atteintes à la santé avec effet sur la capacité de travail des arthralgies diffuses sur troubles dégénératifs, ainsi que le rapport médical du Dr U.________ du 24 avril 2008, qui retient comme atteintes avec effet sur la capacité de travail une polyarthralgie d'étiologie indéterminée et une gonarthrose droite). Ils se fondent sur des diagnostics équivalents au plan physique et retiennent des limitations fonctionnelles à l'exercice d'une activité lucrative qui se recoupent largement (voir en particulier rapport médical du Dr U.________ du 24 avril 2008 et rapport médical du SMR du 12 juin 2008 dont les limitations fonctionnelles retenues se recoupent en grande partie). Au vu de ces avis concordants, il y a lieu de retenir que la recourante n'est plus en mesure d'exercer son ancienne activité de dame de buffet, ce qui n'est par ailleurs pas contesté en l'espèce.</w:t>
      </w:r>
    </w:p>
    <w:p>
      <w:r>
        <w:rPr>
          <w:b/>
        </w:rPr>
        <w:t>E. 4</w:t>
      </w:r>
    </w:p>
    <w:p>
      <w:r>
        <w:t>La recourante conteste en revanche disposer d'une pleine capacité de travail dans une activité adaptée, respectant ses limitations fonctionnelles. A cet égard, elle se fonde principalement sur les conclusions du Dr U.________. a) S'agissant de la capacité de travail de la recourante au plan psychique, le rapport du Dr U.________ mentionne la persistance d'un état anxio-dépressif majeur justifiant des limitations fonctionnelles, soit une capacité de concentration, d'adaptation et de résistance limitée. Cette question a dès lors fait l'objet d'un examen approfondi par le Dr Z.________ du SMR, spécialiste en psychiatrie et</w:t>
      </w:r>
    </w:p>
    <w:p>
      <w:r>
        <w:t>- 17 - psychothérapie. Sur la base d'un examen minutieux, prenant en compte l'anamnèse et les indications subjectives de l'assurée (laquelle lui a fait notamment part de périodes pendant lesquelles elle souffre de fatigue et d'un sentiment de tristesse survenant en réaction à l'aggravation de ses douleurs corporelles), ce médecin a retenu qu'elle présentait une dépression chronique de l'humeur dont la sévérité était insuffisante pour justifier le diagnostic d'un trouble dépressif récurrent. Il a par ailleurs exclu, de manière convaincante, les diagnostics de dépression majeure, de décompensation psychotique, d'anxiété généralisée, de trouble phobique, de trouble panique, de syndrome douloureux somatoforme persistant, et n'a pas noté de perturbation sévère de l'environnement psychosocial, dès lors que celui-ci était resté inchangé depuis de nombreuses années et marqué par des relations proches et stables. Il en a conclu, de manière convaincante, que les troubles de la recourante n'atteignaient pas un degré suffisamment élevé de gravité pour retenir des limitations fonctionnelles au plan psychique et que, par conséquent, la capacité de travail de la recourante était entière de ce point de vue. Dès lors que le rapport médical du Dr Z.________ satisfait aux conditions posée par la jurisprudence quant à sa valeur probante, puisqu'il se fonde sur un examen minutieux et détaillé de l'état de santé de la recourante, qu'il prend en considération les plaintes de celle-ci, qu'il parvient à des conclusions dûment motivées, et que, par ailleurs, il émane d'un spécialiste en psychiatrie, il y a lieu de considérer que ses conclusions l'emportent sur l'appréciation du Dr U.________. En effet, le rapport de ce dernier, outre le fait qu'il n'émane pas d'un médecin spécialiste en psychiatrie, est particulièrement succint et ne contient quasiment pas de motivation. On ne sait pas quelles sont les raisons qui lui permettent de retenir un état anxio-dépressif majeur si ce n'est les indications subjectives de la recourante. Par ailleurs, même si le Dr U.________ n'était pas le médecin traitant de la recourante depuis longtemps, un lien de confiance les unit du fait du mandat thérapeutique, ce qui suffit à</w:t>
      </w:r>
    </w:p>
    <w:p>
      <w:r>
        <w:t>- 18 - conduire le juge à l'apprécier avec retenue. Dans ces conditions, l'appréciation de ce médecin ne permet pas de mettre en doute celle du Dr Z.________. Ainsi, il y a lieu de retenir que la recourante présente, au degré de la vraisemblance prépondérante, une pleine capacité de travail au plan psychique. b) S'agissant de la capacité de travail de la recourante au plan physique, la conclusion du SMR dans son rapport du 12 juin 2008, selon laquelle la recourante présente une pleine capacité de travail dans une activité adaptée à ses limitations fonctionnelles, repose sur un examen approfondi. En effet, sur la base de radiographies effectuées courant 2007 et des examens radiologiques complémentaires du 5 juin 2008 effectués sur demande du SMR, ainsi que d'un examen clinique de la recourante, le Dr J.________, spécialiste en rhumatologie, définit des limitations fonctionnelles précises qui paraissent découler logiquement des atteintes à la santé que présente la recourante. Il convainc dès lors non seulement lorsqu'il explique que l'activité précédente de dame de buffet n'est plus compatible avec ses limitations fonctionnelles, mais aussi en concluant qu'elle présente une pleine capacité de travail dans une activité adaptée. En effet, le rhumatologue qualifie les troubles statiques et dégénératifs du rachis, ainsi que l'arthrose fémoro-tibiale de modérés et les limitations fonctionnelles paraissent compatibles avec un nombre relativement élevé d'activités légères. Quant au rapport médical du Dr U.________, même s'il fait état de limitations fonctionnelles physiques qui rendent l'ancienne activité inexigible, il est pour le moins laconique sur la question de la capacité de travail de la recourante dans une activité adaptée. Dans son rapport, ce médecin n'exclut pas que la recourante présente une capacité de travail dans une activité adaptée, ni n'affirme qu'elle est totalement incapable de travailler dans toute activité. Ce rapport ne permet dès lors pas de mettre en doute l'appréciation du SMR sur la</w:t>
      </w:r>
    </w:p>
    <w:p>
      <w:r>
        <w:t>- 19 - capacité de travail de la recourante dans une activité adaptée, d'un point de vue physique. Ce constat s'impose également à l'égard du rapport médical de la Dresse T.________ du 21 avril 2008, laquelle ne se prononce pas non plus sur la capacité de travail de la recourante dans une activité adaptée. En ce qui concerne le grief de la recourante selon laquelle l'OAI a adopté une position contradictoire en supprimant l'aide au placement par communication du 17 mars 2009 au motif que, selon son coordinateur emploi, l'état de santé de la recourante (en particulier sa tension artérielle qui serait extrêmement élevée) ne lui permettait pas de poursuivre ses recherches d'un emploi adapté, il y a lieu de considérer ce qui suit: d'une part, l'avis d'un coordinateur emploi sur l'état de santé d'un assuré n'est pas déterminant, dans la mesure où une telle personne n'a pas de qualifications médicales; d'autre part, la recourante n'a apporté aucun élément permettant d'admettre cette atteinte à la santé (en particulier pas de certificat médical) et son caractère invalidant, ni avant la prise de décision de l'OAI, ni dans le cadre de la présente procédure de recours. Or même si l'instruction en matière d'assurances sociales est conduite d'office par l'OAI et par le juge en cas de recours, il appartient à l'assuré, respectivement au recourant de collaborer à l'établissement des fait déterminants pour la solution du litige (cf. art. 61 let. c LPGA et art. 43 al. 3 LPGA). Il lui incombe en particulier de renseigner le juge ou l'autorité administrative sur les faits de la cause et leur indiquer les moyens de preuve disponibles (TF 4A_487/2007, du 19 juin 2009, consid. 3.2). En l'espèce, étant donné que la recourante avait déjà connaissance du projet de décision de l'OAI, daté du 20 janvier 2009 (l'informant qu'il était sur le point de rendre une décision de refus de rente), on pouvait attendre d'elle, si elle présentait une nouvelle atteinte à la santé sérieuse qu'elle fournisse un certificat médical à l'OAI et qu'elle ne se contente pas d'une simple allégation orale auprès de son coordinateur emploi. De plus, il faut aussi tenir compte du fait que la recourante s'est opposée à la suppression de la mesure d'aide au placement, ensuite de quoi l'OAI a repris cette mesure.</w:t>
      </w:r>
    </w:p>
    <w:p>
      <w:r>
        <w:t>- 20 - Dans ces circonstances, il y a lieu de considérer que l'OAI pouvait valablement renoncer à prolonger l'instruction, aucun indice sérieux ne lui permettant d'admettre qu'il aurait fallu confirmer les allégations données au coordinateur emploi de l'OAI. Au vu de ce qui précède, il y a lieu retenir qu'il est établi, au degré de la vraisemblance prépondérante, que la recourante présentait bien, également au plan physique, une pleine capacité de travail dans une activité adaptée à ses limitations fonctionnelles physiques. On relèvera toutefois que la présente appréciation de capacité de travail de la recourante ne préjuge pas, bien entendu, d'une éventuelle modification des faits déterminants postérieurement à la décision litigieuse, pouvant donner lieu à une nouvelle demande de prestations de l'AI sur la base de l'art. 17 LPGA (voir aussi les conditions de l'art. 87 al. 3 RAI).</w:t>
      </w:r>
    </w:p>
    <w:p>
      <w:r>
        <w:rPr>
          <w:b/>
        </w:rPr>
        <w:t>E. 5</w:t>
      </w:r>
    </w:p>
    <w:p>
      <w:r>
        <w:t>La recourante demande encore, à titre de mesures d'instruction, à pouvoir effectuer un stage au Centre Orif-COPAI, pour pouvoir déterminer de manière plus précise le type et le taux d'activité compatible avec ses limitations fonctionnelles, ainsi que le rendement effectif dans l'activité raisonnablement exigible. a) Demander de déterminer de manière plus précise le taux et le rendement effectif de l'assurée dans une activité adaptée, revient à une demande d'instruction complémentaire au sujet de la capacité de travail de l'assurée. Or l'évaluation de la capacité de travail est une tâche qui incombe en premier lieu aux médecins (cf. ATF 125 V 256, consid. 4; TF 8C_862/2008 du 19 août 2009, consid. 4.2) et l'évaluation de la capacité de travail par les responsables de la réadaptation professionnelle ne saurait être déterminante (TF 8C_862/2008 du 19 août 2009, consid. 5.2; TF U 38/03 du 8 mars 2004, consid. 4.1). Dès</w:t>
      </w:r>
    </w:p>
    <w:p>
      <w:r>
        <w:t>- 21 - lors, la mesure d'instruction demandée par la recourante ne lui serait d'aucun secours, s'agissant de l'évaluation de sa capacité de travail. b) En ce qui concerne la détermination du type d'activité compatible avec les limitations fonctionnelles de l'assurée, la mesure d'instruction demandée n'est pas non plus nécessaire. En effet, les limitations fonctionnelles de l'assurée paraissent relativement peu contraignantes, et dès lors compatibles avec un large éventail d'activités variées non qualifiées, disponibles sur le marché du travail (cf. TF 9C_11/2011 du 31 mars 2011, consid. 3). De plus, la recourante a bénéficié d'une aide au placement, laquelle avait précisément pour but de la soutenir dans sa recherche d'un emploi approprié (cf. art. 18 LAI).</w:t>
      </w:r>
    </w:p>
    <w:p>
      <w:r>
        <w:rPr>
          <w:b/>
        </w:rPr>
        <w:t>E. 6</w:t>
      </w:r>
    </w:p>
    <w:p>
      <w:r>
        <w:t>Il ne reste plus qu'à examiner si le taux d'invalidité de la recourante a été évalué correctement. 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dans le cadre de la méthode de comparaison des revenus instaurée par cette disposition, de comparer le revenu sans invalidité et le revenu d'invalide. Cette méthode s'applique aux assurés qui, sans invalidité, exerceraient une activité à temps complet (cf. art. 28a LAI). Selon la jurisprudence, pour déterminer le revenu d'invalide, il faut en premier lieu se fonder sur la situation professionnelle concrète de l'assuré (cf. ATF 126 V 75, consid. 3b). Cependant, lorsque l'assuré n'a pas repris d'activité professionnelle dans une activité adaptée à ses limitations fonctionnelles, le revenu</w:t>
      </w:r>
    </w:p>
    <w:p>
      <w:r>
        <w:t>- 22 - d'invalide peut se déterminer au moyen de tabelles statistiques (TF U 200/03 du 18 mars 2004, consid. 5.2; ATF 126 V 75, consid. 3a/bb), en particulier les données de l'Enquête suisse sur la structure des salaires (ci-après: ESS).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Ueli Kieser, Bundesgesetz über den Allgemeinen Teil des Sozialversicherungsrecht (ASTG), in: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ATF 126 V 75, consid. 5b/bb). Le pouvoir d'examen du juge cantonal des assurances sociales s'étend à l'opportunité de la décision administrative et n'est pas limité à la violation du droit, y compris l'excès et l'abus du pouvoir d'appréciation (ATF 137 V 71, consid. 5.2). Enfin, il y a lieu de rappeler que de jurisprudence constante, la déduction globale maximale est limitée à 25% (Cf. notamment : TF 9C_692/2010 du 31 janvier 2011, consid. 3.5; TFA I 719/03 du 16 juillet 2004, consid. 4.2; ATF 126 V 75, consid. 5b/cc).</w:t>
      </w:r>
    </w:p>
    <w:p>
      <w:r>
        <w:t>- 23 - b) En l'espèce, l'OAI a fixé le revenu sans invalidité, pour 2008, à 42'977 fr., montant basé sur les revenus réalisés dans les dernières activités de la recourante, soit une activité en tant que dame de buffet à 80% et une activité de femme de ménage à la Paroisse [...] à 20%. Ce montant, ainsi que le statut d'active à 100% qui a été retenu ne sont pas criticables au vu des pièces au dossier. Quant au revenu avec invalidité, l'OAI s'est référé aux données statistiques de l'ESS, ce qui est justifié étant donné que la recourante n'a pas repris d'activité lucrative. Le montant retenu par l'OAI – soit le salaire de référence pour 2008, auquel peuvent prétendre les femmes effectuant des activités simples et répétitives dans le secteur privé (niveau de qualification 4), c'est-à-dire 52'139 fr en 2008 - n'est pas criticable non plus, étant donné que la recourante est sans formation professionnelle. Quant au taux d'abattement appliqué au revenu d'invalide, il y a lieu de constater que même si l'on appliquait le taux maximal autorisé par la jurisprudence, soit 25%, le revenu d'invalide de la recourante s'élèverait à 39'105 fr (= 52'139 – [52'139 x 25%]). En appliquant la méthode de comparaison des revenus, on parviendrait à un taux d'invalidité de 9% ([42'977 – 39'105] / 42'977), taux nettement insuffisant pour ouvrir le droit à la rente, puisqu'il est fixé à 40% (art. 28 LAI).</w:t>
      </w:r>
    </w:p>
    <w:p>
      <w:r>
        <w:rPr>
          <w:b/>
        </w:rPr>
        <w:t>E. 7</w:t>
      </w:r>
    </w:p>
    <w:p>
      <w:r>
        <w:t>Il résulte de ce qui précède que tous les griefs de la recourante sont mal fondés. Dès lors, le recours doit être rejeté, ce qui entraîne la confirmation de la décision attaquée. S'agissant d'une contestation portant sur le refus de prestations de l'AI, des frais – qui doivent être situés entre 200 et 1000 francs, en fonction de la charge liée à la procédure - sont mis à la charge de la recourante qui succombe (art. 69 al. 1bis LAI, art. 49 al. 1 LPA-VD).</w:t>
      </w:r>
    </w:p>
    <w:p>
      <w:r>
        <w:t>- 24 - Il n'y a pas lieu à l'allocation de dépens, la recourante n'obtenant pas gain de cause (art. 61 let. g LPGA et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