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ZD09.005623 vom 19. Oktober 2010</w:t>
      </w:r>
    </w:p>
    <w:p>
      <w:r>
        <w:t>VD Tribunal cantonal, 2010-10-19, FR</w:t>
      </w:r>
    </w:p>
    <w:p>
      <w:r>
        <w:rPr>
          <w:b/>
        </w:rPr>
        <w:t xml:space="preserve">Quelle: </w:t>
      </w:r>
      <w:r>
        <w:t>https://mcp.opencaselaw.ch/entscheid/vd_gerichte_ZD09.005623</w:t>
      </w:r>
    </w:p>
    <w:p>
      <w:r>
        <w:t>FR: VD_GERICHTE ZD09.005623 du 19 octobre 2010</w:t>
      </w:r>
    </w:p>
    <w:p>
      <w:r>
        <w:t>IT: VD_GERICHTE ZD09.005623 del 19 ottobre 2010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ce qui précède, le recours, bien fondé, doit être admis et le dossier de la cause renvoyé à l’OAI afin qu’il procède au calcul des indemnités journalières sur la base du revenu réalisé par la recourante en tant qu’employée à la Banque Z.________.</w:t>
      </w:r>
    </w:p>
    <w:p>
      <w:r>
        <w:t>- 12 - La recourante, qui obtient gain de cause avec le concours d'un mandataire autorisé, a droit à des dépens, dont le montant doit être déterminé, sans égard à la valeur litigieuse, d'après l'importance et la complexité du litige (art. 61 let. g LPGA et 55 al. 1 LPA-VD [loi vaudoise du 28 octobre 2008 sur la procédure administrative, RSV 173.36]). En l'espèce, il convient d'arrêter le montant des dépens à 2’500 fr. et de les mettre à la charge de l’OAI, qui succombe (art. 55 al. 2 LPA-VD). Il n’y a pas lieu de percevoir de frais judiciaires in casu (art. 52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