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ZD09.000250 vom 11. November 2009</w:t>
      </w:r>
    </w:p>
    <w:p>
      <w:r>
        <w:t>VD Tribunal cantonal, 2009-11-11, FR</w:t>
      </w:r>
    </w:p>
    <w:p>
      <w:r>
        <w:rPr>
          <w:b/>
        </w:rPr>
        <w:t xml:space="preserve">Quelle: </w:t>
      </w:r>
      <w:r>
        <w:t>https://mcp.opencaselaw.ch/entscheid/vd_gerichte_ZD09.000250</w:t>
      </w:r>
    </w:p>
    <w:p>
      <w:r>
        <w:t>FR: VD_GERICHTE ZD09.000250 du 11 novembre 2009</w:t>
      </w:r>
    </w:p>
    <w:p>
      <w:r>
        <w:t>IT: VD_GERICHTE ZD09.000250 del 11 novembre 2009</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a) Est litigieuse en l'espèce la question du taux d’invalidité du recourant et de son éventuel droit à une rente AI (cf. art. 6ss LPGA, 4 al. 1 et 28 al. 2 LAI [loi fédérale du 19 juin 1959 sur l'assurance-invalidité, RS 831.20]). Le recourant ne remet pas en cause l’évaluation de sa capacité de travail sur le plan somatique, sa contestation portant sur la non prise en compte par l’OAI de son affection psychiatrique, qui réduirait à néant sa capacité de travail exigible dans quelque activité que ce soit, selon l’avis du Dr S.________. Il conteste en outre le revenu d’invalide retenu par l’OAI pour calculer son degré d’invalidité, demandant à ce qu’il soit fixé, cas échéant, par expertise. Pour sa part, l’OAI privilégie l’appréciation du SMR selon laquelle le recourant ne souffre d’aucune atteinte psychiatrique invalidante et retient par conséquent une pleine capacité de travail exigible dans une activité adaptée aux seules limitations fonctionnelles somatiques.</w:t>
      </w:r>
    </w:p>
    <w:p>
      <w:r>
        <w:t>- 10 - b)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 TF 9C_547/2008 du 19 juin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 TF 9C_310/2008 du 12 février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w:t>
      </w:r>
    </w:p>
    <w:p>
      <w:r>
        <w:t>- 11 -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Une expertise ordonnée par l’OAI (effectuée par un médecin indépendant) peut satisfaire à ces exigences ; il en va de même d’un rapport émanant d'un SMR au sens de l'art. 69 al. 4 RAI (règlement sur l’assurance-invalidité, RS 831.201) (ATF 125 V 351 consid. 3a ; TFA I 573/04 du 10 novembre 2005, consid. 5.2). Il faut en outre tenir compte du fait que le médecin traitant est généralement enclin, en cas de doute, à prendre parti pour son patient en raison de la relation de confiance qui</w:t>
      </w:r>
    </w:p>
    <w:p>
      <w:r>
        <w:t>- 12 - l'unit à ce dernier (ATF 125 V 351 consid. 3b/cc et les références ; TF 8C_1051/2008 du 6 février 2009 consid. 3.2).</w:t>
      </w:r>
    </w:p>
    <w:p>
      <w:r>
        <w:rPr>
          <w:b/>
        </w:rPr>
        <w:t>E. 3</w:t>
      </w:r>
    </w:p>
    <w:p>
      <w:r>
        <w:t>En l’espèce, la décision litigieuse fait sienne l’appréciation du SMR, selon laquelle l’assuré dispose d’une pleine capacité de travail exigible, tant sur le plan somatique que psychiatrique. Le SMR s’écarte ainsi des conclusions de l’expert G.________ et du Dr S.________, étant d’avis que les troubles somatoformes diagnostiqués ne peuvent être considérés comme invalidants au sens de la jurisprudence en la matière (cf. supra, consid. 2c). En effet, le SMR relève à juste titre la teneur contradictoire du rapport d’expertise psychiatrique, qui reconnaît l’existence de « pathologies psychiatriques somatoformes, douloureuses et conversives, limitant la capacité de travail », sans toutefois retenir de limitation fonctionnelle psychique spécifique, de sorte que sa valeur probante s’en voit affaiblie. Néanmoins, s’il expose de manière circonstanciée les raisons pour lesquelles il s’éloigne des conclusions des Drs G.________ et S.________, en niant notamment toute comorbidité psychiatrique, tout retrait social, trouble de la personnalité ou état dépressif, le SMR ne pouvait pas simplement écarter les deux avis psychiatriques versés au dossier sans avoir effectué d’examen médical approfondi sur la personne de l’assuré, le dossier ne comprenant pas d’indications claires sur l’état psychique de ce dernier en 2008. En effet, il paraît arbitraire d’exclure une comorbidité psychiatrique durable en se fondant uniquement sur une interprétation et une critique des rapports psychiatriques établis en 2003 et 2005, lesquels parlent plutôt en faveur d’une atteinte psychique importante. Cela étant, l’OAI aurait dû, avant de statuer sur l’opposition, demander au SMR d’examiner de manière plus détaillée et complète la situation de l’intéressé sur le plan psychiatrique. Il n’a pas établi les faits de manière complète et n’a pas apprécié les preuves conformément aux exigences du droit fédéral. Dès lors qu’il appartient au premier chef à l'OAI d'instruire (cf. art. 43 al. 1 LPGA et 57 al. 1 let. f LAI), il convient donc de lui retourner le dossier pour qu’il en complète l’instruction conformément aux considérants (TF 9C_162/2007 du 3 avril 2008, consid. 2.3).</w:t>
      </w:r>
    </w:p>
    <w:p>
      <w:r>
        <w:t>- 13 - En définitive, il y a lieu d’admettre partiellement le recours pour constatation incomplète des faits pertinents (cf. art. 28 al. 1 LPA-VD) et mauvaise appréciation des preuves, le recourant n’ayant pris que des conclusions en réforme, puis d’annuler la décision entreprise et de renvoyer le dossier de la cause à l’OAI pour complément d’instruction et nouvelle décision.</w:t>
      </w:r>
    </w:p>
    <w:p>
      <w:r>
        <w:rPr>
          <w:b/>
        </w:rPr>
        <w:t>E. 4</w:t>
      </w:r>
    </w:p>
    <w:p>
      <w:r>
        <w:t>a) Le recourant, qui obtient partiellement gain de cause avec le concours d'un mandataire autorisé, a droit à des dépens réduits, dont le montant doit être déterminé, sans égard à la valeur litigieuse, d'après l'importance et la complexité du litige (art. 61 let. g LPGA et 56 al. 2 LPA- VD). En l'espèce, il convient d'arrêter le montant des dépens à 1’000 fr. et de les mettre à la charge de l’OAI (art. 55 al. 2 LPA-VD). b)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