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ZD08.035361 vom 12. April 2011</w:t>
      </w:r>
    </w:p>
    <w:p>
      <w:r>
        <w:t>VD Tribunal cantonal, 2011-04-12, FR</w:t>
      </w:r>
    </w:p>
    <w:p>
      <w:r>
        <w:rPr>
          <w:b/>
        </w:rPr>
        <w:t xml:space="preserve">Quelle: </w:t>
      </w:r>
      <w:r>
        <w:t>https://mcp.opencaselaw.ch/entscheid/vd_gerichte_ZD08.035361</w:t>
      </w:r>
    </w:p>
    <w:p>
      <w:r>
        <w:t>FR: VD_GERICHTE ZD08.035361 du 12 avril 2011</w:t>
      </w:r>
    </w:p>
    <w:p>
      <w:r>
        <w:t>IT: VD_GERICHTE ZD08.035361 del 12 aprile 2011</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conditions de forme prévues par la loi (art. 61 let. b LPGA notamment), 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w:t>
      </w:r>
    </w:p>
    <w:p>
      <w:r>
        <w:t>- 11 - La cause doit être tranchée par la cour composée de trois magistrats (art. 83c al. 1 LOJV [loi d'organisation judiciaire du 12 décembre 1979; RSV 173.01) et non par un juge unique (cf. art. 94 al. 1 let. a LPA-VD), vu la valeur litigieuse supérieure à 30'000 fr. s'agissant d'une rente d'invalidité.</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vérifiera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w:t>
      </w:r>
    </w:p>
    <w:p>
      <w:r>
        <w:t>- 12 -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w:t>
      </w:r>
    </w:p>
    <w:p>
      <w:r>
        <w:t>- 13 -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114 V 313 consid. 3a; TF 9C_236/2009 du 7 octobre 2009 consid. 3.1).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TF 9C_409/2009 du 11 décembre 2009 consid. 3.1). Le revenu d'invalide doit être évalué avant tout en fonction</w:t>
      </w:r>
    </w:p>
    <w:p>
      <w:r>
        <w:t>- 14 - de la situation professionnelle concrète de la personne assurée.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126 V 75 consid. 3b/aa; TF 9C_142/2009 du 20 novembre 2009 consid. 4.1), publiées par l'Office fédéral de la statistique.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et 6.2; 134 V 322 consid. 6.2; 126 V 75 consid. 5b/aa-cc). L'étendue de l'abattement (justifié dans un cas concret) constitue une question typique relevant du pouvoir d'appréciation, qui est soumise à l'examen du juge de dernière instance uniquement si la juridiction précédente a exercé son pouvoir d'appréciation de manière contraire au droit, soit a commis un excès positif ou négatif de son pouvoir d'appréciation ou a abusé de celui- ci (ATF 132 V 393 consid. 3.3), notamment en retenant des critères inappropriés, en ne tenant pas compte de circonstances pertinentes, en ne procédant pas à un examen complet des circonstances pertinentes ou en n'usant pas de critères objectifs (ATF 130 III 176 consid. 1.2; TF 9C_444/2010 du 20 décembre 2010 consid. 2.1).</w:t>
      </w:r>
    </w:p>
    <w:p>
      <w:r>
        <w:rPr>
          <w:b/>
        </w:rPr>
        <w:t>E. 4</w:t>
      </w:r>
    </w:p>
    <w:p>
      <w:r>
        <w:t>En l'espèce, est litigieux le droit de la recourante à une rente d'invalidité, l'intimé ayant reconnu le droit à un quart de rente à compter d'octobre 2006 alors que la recourante réclame, à partir du 28 octobre 2006, l'octroi d'une rente entière, subsidiairement d'une demi-rente. De l'avis de son médecin traitant, l'assurée présente les atteintes de syndrome thoraco-lombaire depuis le 24 septembre 2005, d'asthme stabilisé, d'anémie compensée depuis 2003 et de surcharge</w:t>
      </w:r>
    </w:p>
    <w:p>
      <w:r>
        <w:t>- 15 - psychogène anxio-dépressive (rapport du 15 octobre 2006 du Dr J.________). Sur le plan somatique, différents examens (notamment radiologiques, IRM et neurologiques) ont été effectués, ne permettant pas d'objectiver l'origine des douleurs ressenties par l'assurée. Dans leur expertise rhumato-psychiatrique du 5 juillet 2007, les Drs S.________ et M.________, du CEMed, ont retenu les diagnostics avec répercussion sur la capacité de travail de syndrome douloureux somatoforme persistant et de personnalité dépendante et, en raison des atteintes psychiques, une incapacité de travail de 50%. Sur le plan somatique, ils ont relevé que l'assurée souffrait de douleurs lombaires basses au niveau du trapèze à gauche, d'asthme, de migraines et d'anémie ferriprive traitée; l'examen rhumatologique était parfaitement dans la norme et une capacité de travail de 100% a été retenue, dans l'ancienne activité et dans toute autre activité, sans que la question d'une éventuelle allergie à la farine n'ait été investiguée. Sur le plan psychique, les experts ont retenu que le tableau clinique de l'assurée correspondait à celui d'un trouble somatoforme douloureux sévère, développé sur la base d'un trouble de la personnalité, l'incapacité de travail étant de 50%. Les experts ont relevé que la situation n'était pas encore suffisamment fixée pour se prononcer sur une éventuelle incapacité de travail à long terme et il ont proposé de prendre contact avec le psychiatre traitant d'ici six mois environ, relevant la possibilité pour l'assurée de reprendre une activité en cas d'amélioration suffisante sur le plan psychiatrique. Les conclusions des experts ont été reprises par le médecin du SMR, le 20 août 2007. Les rapports médicaux produits par la recourante et sur lesquels se fonde la recourante sont antérieurs à l'expertise du CEMed et ne mettent pas en évidence d'éléments objectifs ayant été omis par les experts. Dans leur rapport du 5 juillet 2007, ces derniers se sont basés sur des examens somatiques et psychiatriques complets ainsi qu'en toute connaissance des documents, en particulier radiologiques, figurant au dossier. Sur le plan psychique, ils ont retenu une incapacité de travail de 50% tout en retenant que la situation n'était pas encore stabilisée, requérant dans un délai d'environ six mois l'avis du psychiatre traitant.</w:t>
      </w:r>
    </w:p>
    <w:p>
      <w:r>
        <w:t>- 16 - Dûment interpellée, la Dresse F.________, en date du 4 juillet 2008, a alors retenu une capacité de travail de 50% dans une activité sans charges lourdes et sans stress dès l'atténuation des douleurs. Le 4 mars 2009, la recourante s'est référée à un rapport du 3 mars 2009 de la Dresse F.________, attestant selon elle notamment d'une capacité de travail exigible de 40% dans une activité adaptée, qui n'a pas été produit malgré un courrier en ce sens du 9 mars 2009 du juge instructeur. Dûment avertie, la recourante ne s'est donc pas entièrement conformée à son obligation de collaborer à l'instruction de la cause (art. 61 let. c LPGA et art. 30 LPA-VD). Dès lors, on ne tiendra pas compte de ce rapport médical qui, rendu le 3 mars 2009, ne peut que difficilement se rapporter à la situation de fait jusqu'au moment déterminant de la décision attaquée, datée du 27 octobre 2008. Dès lors, compte tenu de l'avis des experts et du psychiatre traitant, il faut considérer que la situation, stabilisée sur le plan médical, permet de retenir tant sur les plans somatique que psychique, une capacité de travail de 50% dans une activité adaptée. Le dossier est complet sur le plan médical, de sorte qu'il n’y a pas lieu d’ordonner de mesure d'instruction complémentaire.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w:t>
      </w:r>
    </w:p>
    <w:p>
      <w:r>
        <w:t>- 17 -</w:t>
      </w:r>
    </w:p>
    <w:p>
      <w:r>
        <w:rPr>
          <w:b/>
        </w:rPr>
        <w:t>E. 5</w:t>
      </w:r>
    </w:p>
    <w:p>
      <w:r>
        <w:t>a) Sur le plan économique, la recourante conteste la fixation de son revenu d'invalide selon l'ESS. Le recours aux données statistiques salariales est cependant une pratique parfaitement conforme à la jurisprudence du Tribunal fédéral (ATF 129 V 472 consid. 4.2.1; 126 V 75 consid. 3b/aa; TF 9C_142/2009 du 20 novembre 2009 consid. 4.1). Dès lors que les données ressortant de l'ESS recouvrent un large éventail d'activités simples et répétitives, on doit admettre qu'un nombre significatif d'entre elles est adapté aux limitations fonctionnelles de l'assuré (TF I 112/06 du 16 août 2007; TF I 111/06 du 19 avril 2007; TF I 372/06 du 25 janvier 2007; TF I 700/05 du 12 janvier 2007). Du reste, on ne voit pas en quoi l'exercice d'activités simples et répétitives, ne nécessitant aucune formation, ne serait pas accessible à la recourante, malgré ses faibles capacités intellectuelles et sa mauvaise maîtrise du français. b) S'agissant de l'abattement du revenu d'invalide, l'OAI a expliqué, dans sa réponse du 10 mars 2009, que le taux de 10% résultait de l'âge de l'intéressée (47 ans), de son statut en Suisse (nationalité italienne avec un permis d'établissement) et du fait que ses limitations fonctionnelles avaient déjà été prises en compte dans sa diminution de rendement de 50%. Toutefois, ce dernier argument n'est pas décisif (TF 9C_909/2007 du 22 juillet 2008 consid. 4.2). De plus, si la recourante bénéficie d'un permis d'établissement, c'est uniquement par mariage. Agée de 46 ans au moment de la décision attaquée, elle est restée dans son pays d'origine (le Maroc) jusqu'à 32 ans, n'a pas de formation et a un parcours professionnel limité. Dès lors, on se basera sur un abattement de 15% du revenu d'invalide. Compte tenu d'un salaire statistique de 50'277 fr. 69 dans des activités simples et répétitives en 2006 selon l'ESS (TF 9C_673/2009 du 14 avril 2010 consid. 6.3), d'un taux de capacité de travail de 50% retenu par les experts du CEMed et d'un abattement de 15%, le revenu d'invalide est de 21'368 fr. 02. Par comparaison avec un revenu sans invalidité, non contesté, de 44'061 fr. 85, il en résulte un degré d'invalidité de 51.50%. La recourante présentant une atteinte durable à sa santé depuis le 28</w:t>
      </w:r>
    </w:p>
    <w:p>
      <w:r>
        <w:t>- 18 - octobre 2005, elle a donc droit à une demi-rente d'invalidité depuis le 1er octobre 2006, soit après un délai de carence d'une année (art. 28 LAI).</w:t>
      </w:r>
    </w:p>
    <w:p>
      <w:r>
        <w:rPr>
          <w:b/>
        </w:rPr>
        <w:t>E. 6</w:t>
      </w:r>
    </w:p>
    <w:p>
      <w:r>
        <w:t>Partant, le recours doit être admis et la décision attaquée, rendue par l'OAI le 27 octobre 2008, doit être réformée en ce sens que la recourante a droit à une remi-rente d'invalidité à compter du 1er octobre 2006. En dérogation à l'art. 61 let. a LPGA, la procédure de recours en matière de contestations portant sur l'octroi ou le refus de prestations de l'AI devant le tribunal cantonal des assurances est soumise à des frais de justice (art. 69 al. 1 bis LAI). Vu l'issue du litige, il n'y a toutefois pas lieu de percevoir de frais de justice (art. 52 al. 1 LPA-VD). La recourante, qui obtient gain de cause avec le concours d'un mandataire professionnel, a droit à des dépens (art. 61 let. g LPGA) dont le montant doit en l'espèce être arrêté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