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ZD08.032256 vom 3. Dezember 2010</w:t>
      </w:r>
    </w:p>
    <w:p>
      <w:r>
        <w:t>VD Tribunal cantonal, 2010-12-03, FR</w:t>
      </w:r>
    </w:p>
    <w:p>
      <w:r>
        <w:rPr>
          <w:b/>
        </w:rPr>
        <w:t xml:space="preserve">Quelle: </w:t>
      </w:r>
      <w:r>
        <w:t>https://mcp.opencaselaw.ch/entscheid/vd_gerichte_ZD08.032256</w:t>
      </w:r>
    </w:p>
    <w:p>
      <w:r>
        <w:t>FR: VD_GERICHTE ZD08.032256 du 3 décembre 2010</w:t>
      </w:r>
    </w:p>
    <w:p>
      <w:r>
        <w:t>IT: VD_GERICHTE ZD08.032256 del 3 dicembre 2010</w:t>
      </w:r>
    </w:p>
    <w:p>
      <w:pPr>
        <w:pStyle w:val="Heading2"/>
      </w:pPr>
      <w:r>
        <w:t>Erwägungen</w:t>
      </w:r>
    </w:p>
    <w:p>
      <w:r>
        <w:rPr>
          <w:b/>
        </w:rPr>
        <w:t>E. 2</w:t>
      </w:r>
    </w:p>
    <w:p>
      <w:r>
        <w:t>Concernant le pouce droit, le patient se plaint de douleur et d’une limitation de la force. Notre consultant de chirurgie de la main retient un grattage à la mobilisation de l’articulation métacarpophalangienne, en</w:t>
      </w:r>
    </w:p>
    <w:p>
      <w:r>
        <w:t>- 6 - relation avec une probable atteinte dégénérative de cette articulation. En cas de persistance de ces symptômes, il faudra compléter l’imagerie par un scanner de l’articulation métacarpophalangienne. Pas d’indication opératoire dans l’immédiat. En ergothérapie, est effectuée une évaluation avec un bilan 400 pts qui montre un pourcentage d’utilisation de la main lésée (MST) de 45% (cf. rapport). Une orthèse de stabilisation du pouce type pouce du skieur est effectuée.</w:t>
      </w:r>
    </w:p>
    <w:p>
      <w:r>
        <w:rPr>
          <w:b/>
        </w:rPr>
        <w:t>E. 3</w:t>
      </w:r>
    </w:p>
    <w:p>
      <w:r>
        <w:t>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 teneur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vertu de l'art. 8 al. 1 LPGA, est réputée invalidité l'incapacité de gain totale ou partielle qui est présumée permanente ou de longue durée. Cette invalidité peut résulter d'une infirmité congénitale, d'une maladie ou d'un accident (art. 4 al. 1 LAI). b) Aux termes de l'art. 28 al. 2 LAI, l'assuré a droit à un quart de rente s'il est invalide à 40% au moins, à une demi-rente s'il est invalide à 50% au moins, aux trois-quarts d'une rente s'il est invalide à 60% au moins et à une rente entière s'il est invalide à 70% au moins.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w:t>
      </w:r>
    </w:p>
    <w:p>
      <w:r>
        <w:t>- 15 -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 125 V 351 consid. 3a et les références citées; 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TF 9C_91/2008 du 30 septembre 2008; TF 8C_15/2009 du 11 janvier 2010, consid. 3.2). d) L'assurance-invalidité n'a pas à répondre des difficultés de l'assuré pour trouver un emploi approprié liées à des facteurs étrangers à l'invalidité – tels que des difficultés linguistiques, le manque de formation professionnelle ou l'âge. S'il est vrai que de tels facteurs jouent un rôle pour déterminer dans le cas concret les activités que l'on peut</w:t>
      </w:r>
    </w:p>
    <w:p>
      <w:r>
        <w:t>- 16 - raisonnablement exiger d'un assuré, ils ne constituent pas des circonstances supplémentaires qui, à part le caractère raisonnablement exigible d'une activité, sont susceptibles d'influencer l'étendue de l'invalidité, même s'ils rendent parfois difficile, voir impossible la recherche d'une place et, partant, l'utilisation de la capacité de travail résiduelle (ATF 107 V 21 consid. 2c; TFA I 377/98 du 28 juillet 1999, consid. 1 et les références, publié in VSI 1999 p. 247 consid. 1; TF I 1082/06 du 24 septembre 2007, consid. 2.1; TFA I 293/05 du 17 juillet 2006, consid. 2.1).</w:t>
      </w:r>
    </w:p>
    <w:p>
      <w:r>
        <w:rPr>
          <w:b/>
        </w:rPr>
        <w:t>E. 4</w:t>
      </w:r>
    </w:p>
    <w:p>
      <w:r>
        <w:t>a) En l'espèce, le recourant a été examiné à trois reprises par le Dr C.________, les 9 octobre 2007, 28 février et 10 juin 2008. Il a en outre été hospitalisé du 31 octobre au 28 novembre 2007 auprès de la CRR afin qu’une observation stationnaire et multidisciplinaire de son état puisse être effectuée. Il a également été examiné par le Dr M.________ en raison des douleurs au niveau du pouce droit. Sur le plan physique, le Dr C.________ constate dans ses rapports des 9 octobre 2007, 28 février et 10 juin 2008 qu’objectivement, l’épaule droite est tout à fait souple et que la mobilité active est complète. Dans ses rapports des 28 février et 10 juin 2008, le Dr C.________ observe que les différents tendons de la coiffe des rotateurs sont fonctionnels et que le pouce droit est calme, relevant un petit grattage. Au niveau du pouce droit, le Dr M.________ note dans son rapport médical du 6 mai 2008 que la symptomatologie douloureuse est compatible avec une rhizarthrose débutante, sans que les signes radiologiques de rhizarthrose ne soient présents, conseillant, sur le plan thérapeutique, un traitement conservateur par anti-inflammatoires locaux et per os, sans qu’il n’y ait de proposition chirurgicale à faire. Du point de vue thérapeutique, le Dr C.________ conclut lui aussi dans son dernier rapport d’examen du 10 juin 2008 qu’il faut rester conservateur, tant pour l’épaule que pour le pouce. Les Drs S.________ et G.________ de la CRR, dans leur rapport du 2 janvier 2008, relèvent aussi au status une épaule droite calme, l’arthro-IRM de l’épaule effectuée le 2 juin [recte: 1er juin] 2007 ayant montré une lésion partielle de la face profonde du tendon supra-épineux, le reste de la coiffe</w:t>
      </w:r>
    </w:p>
    <w:p>
      <w:r>
        <w:t>- 17 - étant de bonne qualité. S’agissant du pouce, ils constatent que leur consultant de chirurgie de la main a retenu un grattage à la mobilisation de l’articulation métacarpophalangienne en relation avec une probable atteinte dégénérative de cette articulation. Quant à la capacité de travail du recourant, les médecins de la CRR estiment dans leur rapport du 2 janvier 2008 qu’elle sera totale dans une activité adaptée respectant les limitations pour le travail de force et répétitif au-dessus du plan des épaules. Le 28 février 2008, le Dr C.________ observe qu’il n’y a aucune raison de s’écarter des conclusions prises à l’issue du séjour à la CRR concernant la capacité de travail, estimant qu’il ne fait aucun doute que le patient peut travailler dans une certaine proportion comme nettoyeur, voire en plein, s’il s’agit de nettoyages de bureau par exemple. Dans son rapport d’examen du 10 juin 2008, le Dr C.________ précise que l’assuré conserve une pleine capacité de travail dans toute activité légère, de type industriel, exercée à hauteur de table ou d’établi. Le Dr W.________ du SMR confirme également dans son rapport médical du 17 juillet 2008 que l’assuré présente une pleine capacité de travail dans une activité légère, ainsi qu’en tant que nettoyeur, si les limitations fonctionnelles sont respectées. Quant aux médecins traitants de l’assuré, ils ne font pas un constat différent de celui des médecins précités: la Dresse K.________ et le Dr H.________, dans leur courrier du 5 juillet 2007 à la CNA, ne retiennent pas d’indication chirurgicale mais estiment qu’une adaptation professionnelle doit être envisagée. Dans son rapport médical intermédiaire à la CNA du 10 juillet 2007, la Dresse K.________ propose une adaptation du lieu de travail afin d’éviter des mouvements douloureux dans l’arc supérieur de l’épaule droite. Dans leur rapport médical du 9 janvier 2008, le Dr H.________ et la Dresse U.________ rappellent qu’une option chirurgicale ne leur paraît pas raisonnable et qu’ils ont donc mis un terme au traitement, recommandant plutôt d’envisager des mesures professionnelles. Le Dr F.________, dans son rapport médical du 28 mars 2008 à l’OAI, observe qu’il faudrait trouver un poste de travail exigeant peu d’efforts physiques, estimant que dans un poste adapté, la capacité de travail devrait s’élever à 50% au moins. Finalement, aucun des médecins du recourant ne fait état, comme</w:t>
      </w:r>
    </w:p>
    <w:p>
      <w:r>
        <w:t>- 18 - ce dernier le soutient, d’une péjoration de son état de santé. Il ne résulte pas non plus des pièces au dossier que son état justifierait, comme il le prétend, l’aide d’un tiers pour certains actes de la vie, comme celui de se laver. Dans ces conditions, il y a lieu de retenir une capacité de travail exigible entière sur le plan somatique. b) Du point de vue psychologique, le consilium psychiatrique du 8 novembre 2007 mentionne la présence d’une surcharge psychique, le psychiatre relevant pourtant que le patient fait globalement face. Aucun médecin ne retient au demeurant une diminution de la capacité de travail au plan psychique. Il convient en conséquence de retenir également une capacité de travail exigible entière sur ce plan.</w:t>
      </w:r>
    </w:p>
    <w:p>
      <w:r>
        <w:rPr>
          <w:b/>
        </w:rPr>
        <w:t>E. 5</w:t>
      </w:r>
    </w:p>
    <w:p>
      <w:r>
        <w:t>Il reste encore à déterminer le taux d'invalidité du recourant. a)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La comparaison des revenus s'effectue, en règle générale, en chiffrant aussi exactement que possible les montants de ces deux revenus et en les confrontant l'un avec l'autre, la différence, exprimée en pour- cent (ATF 114 V 310), permettant de calculer le taux d'invalidité (TF 9C_195/2010 du 16 août 2010, consid. 6.2). b)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w:t>
      </w:r>
    </w:p>
    <w:p>
      <w:r>
        <w:t>- 19 - telles qu'elles résultent des enquêtes sur la structure des salaires (ci- après: ESS) de l'Office fédéral de la statistique (ATF 129 V 472 consid. 4.2.1; TF 9C_900/2009 du 27 avril 2010, consid. 3.3). Il convient alors de se référer à la statistique des salaires bruts standardisés, en se fondant toujours sur la médiane ou valeur centrale. S’agissant du gain d’invalide, dans la mesure où le recourant n’a pas, selon les pièces au dossier, repris d’activité professionnelle adaptée à ses limitations fonctionnelles, il y a lieu de se référer aux données statistiques telles qu’elles résultent des chiffres ESS. En l’occurrence, le salaire de référence est celui auquel pouvaient prétendre, en 2008, les hommes effectuant des activités simples et répétitives dans le secteur privé (production et services), à savoir 4'806 fr. par mois, part au 13e salaire comprise (ESS 2008, tableau TA1, niveau de qualification 4), soit 57'672 fr. par année. Comme les salaires bruts standardisés se basent sur un horaire de travail de 40 heures, ce salaire doit être converti à la moyenne usuelle des entreprises en 2008, soit 41,6 heures (La Vie économique 3-2010, tableau B 9.2, p. 94), ce qui représente 59'978 fr. 88 (57'672 : 40 x 41,6).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 (ATF 134 V 322 consid. 5.2). En l’espèce, l’OAl a procédé à un abattement de 10 % sur le revenu d’invalide, ce qui n’apparaît pas critiquable compte tenu des limitations fonctionnelles du recourant. Le revenu annuel d’invalide s’élève ainsi à 53'981 francs.</w:t>
      </w:r>
    </w:p>
    <w:p>
      <w:r>
        <w:t>- 20 - c) En ce qui concerne le revenu sans invalidité, bien qu'il soit hypothétique, la jurisprudence considère qu'il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134 V 322 consid. 4.1; 129 V 222 consid. 4.3.1; TF 9C_104/2010 du 27 juillet 2010, consid. 4.1). Dans le cas particulier, le recourant a mentionné un salaire mensuel de 3’800 fr. dans sa demande de prestations AI. Selon l’attestation de l’employeur du 7 mars 2008, confirmée par les comptes individuels, le salaire de l’assuré soumis à cotisation AVS pour la période du 24 février au 21 décembre 2006 s’est élevé à 30'224 fr. 05, soit un revenu inférieur à celui indiqué par le recourant. Dans la mesure où le recourant n’avait pas travaillé avant 2006, et dès lors qu’il n’apparaissait pas possible de chiffrer de façon précise son revenu sans invalidité, l’OAI s’est référé à la Convention collective de travail 2008 dans la branche du nettoyage et retient un revenu hypothétique annuel de valide de 45'383 fr. 80, qui n’est pas critiquable. Dès lors que le revenu que le recourant est susceptible de réaliser dans une activité adaptée est supérieur à celui qu’il réalisait sans invalidité, il ne subit aucune perte économique et n’a droit ni à une rente d'invalidité ni à des mesures d’ordre professionnel (ATF 124 V 108 consid. 2b et les références; TF 8C_36/2009 du 15 avril 2009, consid. 4 et les références citées).</w:t>
      </w:r>
    </w:p>
    <w:p>
      <w:r>
        <w:rPr>
          <w:b/>
        </w:rPr>
        <w:t>E. 6</w:t>
      </w:r>
    </w:p>
    <w:p>
      <w:r>
        <w:t>Le recourant a subsidiairement conclu à être mis au bénéfice de mesures de réinsertion. Il ne remplit toutefois pas les conditions d'octroi de ces mesures (cf. art. 14a ss LAI). Il ne présente pas une invalidité suffisante. De plus, une activité professionnelle adaptée à ses limitations fonctionnelles n'est pas difficilement accessible, même s'il ne dispose pas d'une formation professionnelle particulière et malgré son niveau de français peu élevé. Il y a lieu de rappeler à cet égard que</w:t>
      </w:r>
    </w:p>
    <w:p>
      <w:r>
        <w:t>- 21 - l’assurance-invalidité n’a pas à répondre à des difficultés pour l’assuré pour trouver un emploi approprié liées à des facteurs étrangers à l’invalidité, tels que le manque de formation professionnelle ou des difficultés linguistiques (cf. supra, consid. 3d).</w:t>
      </w:r>
    </w:p>
    <w:p>
      <w:r>
        <w:rPr>
          <w:b/>
        </w:rPr>
        <w:t>E. 7</w:t>
      </w:r>
    </w:p>
    <w:p>
      <w:r>
        <w:t>En définitive, le recours se révèle mal fondé et doit donc être rejeté, ce qui entraîne la confirmation de la décision entreprise. Les frais de justice d’un montant de 250 fr. sont mis à la charge du recourant qui succombe (art. 69 al. 1bis LAI et 49 al. 1 LPA-VD). Il n’est pas alloué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