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ZD08.028223 vom 17. Februar 2010</w:t>
      </w:r>
    </w:p>
    <w:p>
      <w:r>
        <w:t>VD Tribunal cantonal, 2010-02-17, FR</w:t>
      </w:r>
    </w:p>
    <w:p>
      <w:r>
        <w:rPr>
          <w:b/>
        </w:rPr>
        <w:t xml:space="preserve">Quelle: </w:t>
      </w:r>
      <w:r>
        <w:t>https://mcp.opencaselaw.ch/entscheid/vd_gerichte_ZD08.028223</w:t>
      </w:r>
    </w:p>
    <w:p>
      <w:r>
        <w:t>FR: VD_GERICHTE ZD08.028223 du 17 février 2010</w:t>
      </w:r>
    </w:p>
    <w:p>
      <w:r>
        <w:t>IT: VD_GERICHTE ZD08.028223 del 17 febbraio 2010</w:t>
      </w:r>
    </w:p>
    <w:p>
      <w:pPr>
        <w:pStyle w:val="Heading2"/>
      </w:pPr>
      <w:r>
        <w:t>Erwägungen</w:t>
      </w:r>
    </w:p>
    <w:p>
      <w:r>
        <w:rPr>
          <w:b/>
        </w:rPr>
        <w:t>E. 4</w:t>
      </w:r>
    </w:p>
    <w:p>
      <w:r>
        <w:t>a) Dès lors qu'il est admis que la décision initiale est manifestement erronée, il convient d'examiner la situation au moment où la décision de révision de l'administration a été rendue de façon à pouvoir rétablir une situation conforme au droit (TFA I 302/04 du 27 mars 2006).</w:t>
      </w:r>
    </w:p>
    <w:p>
      <w:r>
        <w:t>- 15 - b) Aux termes de l’art. 8 LPGA, est réputée invalidité l’incapacité gain totale ou partielle qui est présumée permanente ou de la durée. L’invalidité peut résulter d’une infirmité congénitale d’une maladie ou d’un accident (art. 4 al. 1 in fine LAI). En vertu de l’art. 7 LPGA, est réputée incapacité de gain toute diminution de l’ensemble ou d’une partie des possibilités de gain du recourant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le recourant aurait pu obtenir s’il n’était pas invalide est comparé avec celui qu’il pourrait obtenir en exerçant l’activité qui peut raisonnablement être exigée de lui après les traitements et les mesures de réadaptation, sur un sur un marché du travail équilibré. Chez les assurés actifs – soit les assurés qui, sans atteinte à la santé, exerceraient une activité lucrative à plein temps –,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En l’espèce, le recourant est sans activité lucrative, de sorte qu’il conviendrait de déterminer les revenus avec et sans invalidité en se référant aux données statistiques, telles qu’elles résultent de l’enquête sur la structure des salaires (ESS) publiée par l’Office fédéral dé la statistique (ATF 126 V 75, consid. 3b/aa et bb). Cependant, selon la jurisprudence, lorsque les revenus avec et sans invalidité sont basés sur la même tabelle</w:t>
      </w:r>
    </w:p>
    <w:p>
      <w:r>
        <w:t>- 16 - statistique, il est superflu de les chiffrer avec exactitude; en pareil cas, le degré d’invalidité se confond avec celui de l’incapacité de travail, sous réserve d’une éventuelle réduction du salaire statistique (TFA I 168/05 du 24 avril 2006, consid. 3.3; I 1/03 du 15 avril 2003, consid. 5.2).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TFA I 274/05 du 21 mars 2006, consid. 1.1; Pratique VSI 2002 p. 64; RCC 1980 p. 263).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Pratique VSI 2001, p. 106, consid. 3b/bb et cc; Frésard/Moser-Szeless, L'assurance-accidents obligatoire, in Schweizerisches Bundesverwaltungsrecht [SBVR], Soziale Sicherheit, 2e éd., n. 688c, p. 1025). Il faut cependant relever qu'un rapport médical ne saurait être écarté pour la simple et unique raison qu'il émane du médecin traitant ou qu'il a été établi par un médecin se trouvant dans un rapport de</w:t>
      </w:r>
    </w:p>
    <w:p>
      <w:r>
        <w:t>- 17 - subordination vis-à-vis d'un assureur (TF 9C_773/2007 du 23 juin 2008, consid. 5.2). En cas de contradictions entre les rapports médicaux,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TFA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t>- 18 - L'assureur et l'instance de recours sont tenus d'ordonner une instruction complémentaire lorsque les allégations des parties et les éléments ressortant du dossier requièrent une telle mesure. En particulier, ils doivent mettre en oeuvre une expertise lorsqu'il apparaît nécessaire de clarifier les aspects médicaux du cas (ATF 117 V 282, consid. 4a; TFA I 751/03 du 19 mars 2004, consid. 3.3). d) En l'occurrence, s'agissant de l'éthylisme du recourant, celui-ci est connu de longue date (années 70). Cependant, seuls les médecins traitants, la Dresse M.________, spécialiste FMH en médecine interne, et le Dr W.________, spécialiste FMH en psychiatrie et psychothérapie, consultés par le recourant à partir de 2006 respectivement 2008, confère à son éthylisme un caractère secondaire, donc invalidant au sens de la LAI. Ces médecins sont également les premiers à soutenir que le recourant présente des atteintes psychiatriques depuis plusieurs années. Dans son rapport du 23 mars 2006, la Dresse M.________ déclare que "cette conduite additive est très probablement révélatrice d'un état dépressif sous-jacent. On peut se demander si la poursuite de cette conduite ne pourrait pas être assimilée à un comportement suicidaire". Malgré une telle appréciation, qui échappe par ailleurs au domaine de compétence de ce médecin, ce n'est qu'à partir de septembre 2008, que le recourant consulte un psychiatre, soit deux ans et demi après. En outre, jusqu'à septembre 2008, aucune médication, notamment sous forme d'antidépresseur, n'a été prescrite au recourant. Aucun autre médecin n'ayant fait état d'atteintes psychiatriques, l'appréciation de la Dresse M.________ sur ce point n'emporte pas la conviction, d'autant plus qu'elle-même ne fait que supposer, sans affirmer, l'existence de telles atteintes. En ce qui concerne les attestations du Dr W.________, elles sont insuffisamment motivées et ne posent aucun diagnostic précis, conforme notamment à la classification internationale. Ce médecin n'explique notamment pas en quoi ni dans quelle mesure une éventuelle atteinte</w:t>
      </w:r>
    </w:p>
    <w:p>
      <w:r>
        <w:t>- 19 - psychiatrique aurait des répercussions sur la capacité de travail du recourant. Les autres indications contenues dans ce certificat (âge, durée de l'inactivité, etc.), qui ne sont pas remises en cause, ne constituent pas une atteinte à la santé invalidante au sens de la LAI. Force est dès lors de constater qu'il n'est pas établi que l'alcoolisme du recourant a provoqué une maladie entraînant une atteinte à la santé physique ou mentale nuisant à la capacité de gain ou qu'il résulte lui-même d'une atteinte à la santé physique ou mentale qui a valeur de maladie. Cet alcoolisme est donc primaire et, avec l'OAI, on doit convenir qu'il ne s'agit pas d'une atteinte invalidante au sens de la LAI. D'ailleurs, le précédent médecin traitant du recourant admettait en 2004 que son patient pourrait travailler s'il arrêtait de boire. e) L'expertise du 15 avril 2005 du Dr D.________, spécialiste FMH en médecine interne, remplit les exigences jurisprudentielles de force probante; par ailleurs, s'agissant du volet somatique, le recourant ne conteste nullement son bien-fondé. Compte tenu de ses conclusions ainsi que du fait que l'éthylisme présenté par le recourant n'est pas invalidant au sens de la LAI, on doit admettre que la capacité de travail du recourant était entière au moment de la décision querellée et qu'elle l'a toujours été. Au vu de ce qui précède, la décision du 15 mai 1998 de l'OAI était donc non seulement manifestement erronée mais, en plus, sa rectification revêt une importance notable dans la mesure où elle conduit à supprimer la rente allouée au recourant (cf. TFA I 210/02 du 11 décembre 2002). C'est donc à bon droit que l'OAI a reconsidéré cette décision et supprimer la rente du recourant.</w:t>
      </w:r>
    </w:p>
    <w:p>
      <w:r>
        <w:rPr>
          <w:b/>
        </w:rPr>
        <w:t>E. 5</w:t>
      </w:r>
    </w:p>
    <w:p>
      <w:r>
        <w:t>En définitive, le recours, mal fondé, doit être rejeté et la décision entreprise confirmée. En dérogation à l'art. 61 let. a LPGA, la procédure de recours en matière de contestations portant sur l'octroi ou le refus de prestations de l'AI devant le tribunal cantonal des assurances est soumise à des frais</w:t>
      </w:r>
    </w:p>
    <w:p>
      <w:r>
        <w:t>- 20 -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du recourant, qui succombe (art. 49 LPA-VD). En outre, il n'y a pas lieu dans ces circonstances d'allouer de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