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ZD08.026716 vom 22. September 2010</w:t>
      </w:r>
    </w:p>
    <w:p>
      <w:r>
        <w:t>VD Tribunal cantonal, 2010-09-22, FR</w:t>
      </w:r>
    </w:p>
    <w:p>
      <w:r>
        <w:rPr>
          <w:b/>
        </w:rPr>
        <w:t xml:space="preserve">Quelle: </w:t>
      </w:r>
      <w:r>
        <w:t>https://mcp.opencaselaw.ch/entscheid/vd_gerichte_ZD08.026716</w:t>
      </w:r>
    </w:p>
    <w:p>
      <w:r>
        <w:t>FR: VD_GERICHTE ZD08.026716 du 22 septembre 2010</w:t>
      </w:r>
    </w:p>
    <w:p>
      <w:r>
        <w:t>IT: VD_GERICHTE ZD08.026716 del 22 settembre 2010</w:t>
      </w:r>
    </w:p>
    <w:p>
      <w:pPr>
        <w:pStyle w:val="Heading2"/>
      </w:pPr>
      <w:r>
        <w:t>Erwägungen</w:t>
      </w:r>
    </w:p>
    <w:p>
      <w:r>
        <w:rPr>
          <w:b/>
        </w:rPr>
        <w:t>E. 3</w:t>
      </w:r>
    </w:p>
    <w:p>
      <w:r>
        <w:t>Le syndrome biologique inflammatoire est-il toujours présent et quelle est son influence sur la capacité de travail de Mme X.________? Le syndrome biologique inflammatoire a disparu, la VS et la CRP du 11.1.2010 étant normales.</w:t>
      </w:r>
    </w:p>
    <w:p>
      <w:r>
        <w:rPr>
          <w:b/>
        </w:rPr>
        <w:t>E. 4</w:t>
      </w:r>
    </w:p>
    <w:p>
      <w:r>
        <w:t>Pour le surplus, pouvez-vous confirmer les conclusions de votre rapport du 15 août 2008? Non. Si on retrouve la multiplicité des localisations douloureuses, dont on ne peut nier l'origine organique, qui contre-indiquent toujours son ancienne activité d'aide de cuisine, les douleurs sont maintenant surtout d'origine comportementale (troubles somatoformes douloureux chroniques) et sur fibromyalgie, qui n'empêchent pas, à un poste adapté, une capacité de travail théorique complète avec une diminution de rendement de 50%.</w:t>
      </w:r>
    </w:p>
    <w:p>
      <w:r>
        <w:rPr>
          <w:b/>
        </w:rPr>
        <w:t>E. 5</w:t>
      </w:r>
    </w:p>
    <w:p>
      <w:r>
        <w:t>Considérez-vous qu'une réévaluation de l'état de santé de Mme X.________ soit nécessaire? Une appréciation rhumatologique me paraît souhaitable puisque mes deux appréciations sont divergentes, mais aussi une appréciation psychiatrique compte tenu des deux avis contradictoires des Dr V.________ et G.________ dans leur rapport de juillet 2003 et respectivement mai 2007.</w:t>
      </w:r>
    </w:p>
    <w:p>
      <w:r>
        <w:rPr>
          <w:b/>
        </w:rPr>
        <w:t>E. 6</w:t>
      </w:r>
    </w:p>
    <w:p>
      <w:r>
        <w:t>Pronostic? Très réservé compte tenu de la fibromyalgie et des troubles comportementaux. Questions de l'Office de l'assurance-invalidité 1. Quelles sont les limitations fonctionnelles liées au syndrome biologique inflammatoire? Aucun, puisqu'il n'y a plus de syndrome biologique inflammatoire.</w:t>
      </w:r>
    </w:p>
    <w:p>
      <w:r>
        <w:t>- 10 - 2. Quelles sont les éventuelles répercussions de ce syndrome sur la capacité de travail? Même réponse qu'à la question 1". Dans un courrier du 8 février 2010, le Dr J.________ fait part au juge instructeur de son incompréhension face aux avis contradictoires des différents spécialistes consultés. Il est d'avis que sa patiente n'est plus apte à travailler et que l'octroi d'une rente entière d'invalidité aurait l'avantage de lui offrir une reconnaissance sociale à ses maux, de sorte qu'une prise en charge plus focalisée sur sa souffrance pourrait enfin être envisagée. Dans leurs déterminations, les parties maintiennent leur position. E n d r o i t : 1. 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compte tenu des féries d'été (art. 38 al. 4 let. b et 60 al. 1 LPGA [loi fédérale du 6 octobre 2000 sur la partie générale du droit des assurances sociales, RS 830.1]); il satisfait en outre aux autres conditions légales (art. 61 let. b LPGA), de sorte qu’il est recevable en la forme.</w:t>
      </w:r>
    </w:p>
    <w:p>
      <w:r>
        <w:t>- 11 - 2. a) Est litigieuse en l'espèce la question du taux d’invalidité de la recourante et de son droit à une rente AI. La recourante soutient que son état de santé s'est aggravé, ainsi que l'atteste son médecin traitant, le Dr J.________, et qu'elle n'est plus en mesure de travailler. Elle sollicite l'octroi d'au moins trois quarts de rente d'invalidité et un complément d'instruction sur le plan médical. L’OAI estime quant à lui que la recourante dispose d'une capacité de travail exigible de 50% dans une activité adaptée à ses limitations fonctionnelles somatiques, conformément à l'avis du SMR, de sorte qu'elle n'a droit qu'à trois quarts de rente tout au plus. b)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 invalidité, RS 831.20]).</w:t>
      </w:r>
    </w:p>
    <w:p>
      <w:r>
        <w:t>- 12 - c) Aux termes de l'art. 28 al. 2 LAI, l'assuré a droit à un quart de rente s'il est invalide à 40% au moins, à une demi-rente s'il est invalide à 50% au moins, aux trois-quarts d'une rente s'il est invalide à 60% au moins et à une rente entière s'il est invalide à 70%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L'exigibilité est un aspect de l'incapacité de travail selon l'art. 6 LPGA (ATF 132 V 393 consid. 3.2). Le taux d’invalidité est, pour ce qui est des assurés actifs, une notion juridique fondée sur des éléments d’ordre essentiellement économique, à savoir les gains hypothétiques prévus à l’art. 16 LPGA; les revenus chiffrés sont comparés et le taux d’invalidité issu de cette comparaison est exprimé en pour-cent (ATF 114 V 310 consid. 3a et les références; TF 9C_900/2009 du 27 avril 2010, consid. 3.1). La notion d’invalidité au sens de la loi ne se confond donc pas nécessairement avec le taux d’incapacité fonctionnelle déterminé par le médecin. La tâche de ce dernier consiste à apprécier l’état de santé de l’assuré et à indiquer dans quelle mesure et pour quelles activités ce dernier est incapable de travailler. En outre, les données médicales constituent un élément utile pour déterminer quels travaux peuvent encore raisonnablement être exigés de la part de l'assuré (ATF 125 V 256 consid. 4; TF 8C_862/2008 du 19 août 2009, consid. 4.2). d) Parmi les atteintes à la santé psychique qui peuvent provoquer une invalidité au sens des normes en vigueur, il faut mentionner – outre les maladies mentales proprement dites – les anomalies psychiques qui équivalent à des maladies. Pour déterminer si une atteinte à la santé psychique entraîne une invalidité, il faut établir si et dans quelle mesure un assuré peut, malgré son atteinte à la santé</w:t>
      </w:r>
    </w:p>
    <w:p>
      <w:r>
        <w:t>- 13 -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TF 9C_499/2009 du 16 décembre 2009, consid. 4.2).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Toutefois,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4ème éd., p. 191) sur laquelle se fonde le Tribunal fédéral, les états dépressifs constituent des manifestations (réactives) d'accompagnement des troubles somatoformes douloureux, de sorte qu'un tel diagnostic ne saurait être reconnu comme constitutif d'une comorbidité psychiatrique</w:t>
      </w:r>
    </w:p>
    <w:p>
      <w:r>
        <w:t>- 14 - autonome des troubles somatoformes douloureux (ATF 130 V 352 consid. 3.3.1 et la référence; TF 9C_451/2009 du 22 mars 2010, consid. 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TF 9C_547/2008 du 19 juin 2009 consid. 2.2). e)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TF 9C_418/2007 du 8 avril 2008, consid. 2.1). A cet égard,</w:t>
      </w:r>
    </w:p>
    <w:p>
      <w:r>
        <w:t>- 15 -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TF 9C_609/2009 du 15 avril 2010, consid. 4.1). En particulier, la jurisprudence reconnaît qu'un rapport qui émane d'un SMR au sens de l'art. 69 al. 4 RAI (règlement sur l’assurance-invalidité, RS 831.201) a une valeur probante s'il remplit les exigences requises par la jurisprudence (ATF 125 V 351 consid. 3a; TFA I 573/04 du 10 novembre 2005, consid. 5.2; cf. aussi TF 9C_105/2009 du 19 août 2009, consid. 4.2). Il faut en outre tenir compte du fait que le médecin traitant est généralement enclin, en cas de doute, à prendre parti pour son patient en raison de la relation de confiance qui l'unit à ce dernier (ATF 125 V 351 consid. 3b/cc et les références; TF 9C_844/2009 du 29 mars 2010, consid. 4.3). 3. a) En l’espèce, il n'est pas contesté que la recourante présente une incapacité de travail d'au moins 50% en raison de ses atteintes somatiques. Reste toutefois à déterminer s'il y a lieu de retenir une incapacité de travail plus importante, tant sur le plan physique que psychique. b) D'un point de vue somatique, l'OAI se rallie à la position du SMR, qui retient une capacité de travail de 50% depuis le 4 mars 2003 dans une activité adaptée aux limitations fonctionnelles de la recourante. Ces limitations sont soigneusement décrites par le Dr W.________, qui précise que l'examen physique n'a pas objectivé de limitation dans les amplitudes articulaires de façon franche, hormis celles mises en œuvre par l'assurée dans un contexte oppositionnel, caricatural et polyplaintif. Ce médecin relève en outre qu'aucun déficit objectif n'a été mis en évidence</w:t>
      </w:r>
    </w:p>
    <w:p>
      <w:r>
        <w:t>- 16 - sur le plan neurologique et que l'intéressée présente une hypoesthésie diffuse, touchant tout l'hémicorps droit et n'obéissant à aucun territoire anatomique reconnu, sans autre traduction. Selon lui, les atteintes ostéoarticulaires objectives présentées ne limitent pas la capacité de travail théorique, mais impliquent une diminution de rendement de 50 pour-cent. Cette appréciation rejoint celle du Dr R.________ du 19 janvier 2010, qui retient une capacité de travail théorique complète avec une diminution de rendement de 50%, suite à la disparition du syndrome biologique inflammatoire décelé en août 2008. Elle confirme également celle de la Dresse F.________, qui retenait en 2004 déjà une incapacité de travail durable de 50% sur le plan ostéoarticulaire. Elle se voit enfin corroborée par les observations faites à l'occasion du stage d'évaluation professionnelle au COPAI, selon lesquelles la recourante s'est montrée capable de travailler toute la journée durant dans une activité simple et légère à l'établi, avec une diminution de rendement de 50 pour-cent. Il appert ainsi que les conclusions de la majorité des spécialistes consultés sont identiques, de sorte que les avis isolés et, au demeurant, totalement opposés des Drs S.________ et J.________ ne sauraient être suivis. Partant, il y a lieu de retenir que la recourante présente une capacité de travail exigible de 50% du point de vue somatique. c) Sous l'angle psychiatrique, le rapport d'examen du SMR du</w:t>
      </w:r>
    </w:p>
    <w:p>
      <w:r>
        <w:rPr>
          <w:b/>
        </w:rPr>
        <w:t>E. 11</w:t>
      </w:r>
    </w:p>
    <w:p>
      <w:r>
        <w:t>mai 2007 parvient à la conclusion que la recourante ne souffre d'aucune atteinte psychique invalidante et qu'elle adopte un comportement de type "exagération volontaire des plaintes", sur la base d'une atteinte ostéoarticulaire dégénérative. Le Dr G.________ renonce en particulier à poser le diagnostic formel de fibromyalgie au vu de l'anamnèse de l'assurée et de son comportement. Il ne tient pas davantage compte du syndrome algique chronique à caractère non- organique, à défaut de pathologie psychiatrique invalidante préexistante, de comorbidité psychiatrique ou de signe de gravité cristallisé. Le</w:t>
      </w:r>
    </w:p>
    <w:p>
      <w:r>
        <w:t>- 17 - psychiatre du SMR précise en outre que l'intéressée ne montre pas de signe de dépression majeure, de décompensation psychotique, d'anxiété généralisée, de trouble phobique, de trouble de la personnalité morbide, de syndrome douloureux somatoforme persistant, de perturbation de l'environnement psychosocial, ni de limitations fonctionnelles psychiatriques, cela tant sur le plan anamnestique que clinique. Cette appréciation s'oppose à l'avis des Drs V.________ et N.________, qui retiennent tous deux l'existence de troubles psychiques invalidants, mais dont les rapports sont peu documentés et imprécis. Cette même critique peut être formulée à l'encontre du Dr J.________, qui n'est au demeurant pas psychiatre. En revanche, le rapport d'examen du Dr G.________, qui repose sur une anamnèse détaillée, des examens cliniques complets et une analyse approfondie, et dont les conclusions sont claires et dûment motivées, répond en tous points aux critères jurisprudentiels permettant de lui reconnaître pleine valeur probante (cf. supra, consid. 2e). Partant, le dossier médical est suffisant étayé pour permettre à la cour de céans de se prononcer en toute connaissance de cause, sans procéder à des mesures d'instruction complémentaires. Il en résulte que la recourante ne souffre d'aucune atteinte psychique invalidante et qu'elle présente ainsi une incapacité de travail de 50% sur le seul plan somatique à compter du mois de mars 2003. 4. Reste encore à déterminer le taux d'invalidité de la recourante. a) Revenu sans invalidité Selon la jurisprudence, bien qu'il soit hypothétique, le revenu sans invalidité n'en doit pas moins être évalué de manière aussi concrète que possible. Ainsi, il convient en règle générale de se référer au dernier salaire que l'assuré a obtenu avant l'atteinte à la santé, en prenant en considération l'évolution des salaires jusqu'au moment du prononcé de la</w:t>
      </w:r>
    </w:p>
    <w:p>
      <w:r>
        <w:t>- 18 - décision (ATF 129 V 222 consid. 4.3.1; TF 9C_104/2010 du 27 juillet 2010, consid. 4.1). Il est vrai que certaines circonstances peuvent toutefois justifier qu'on s'en écarte.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In casu, le revenu sans invalidité de 57'863 fr. retenu par l'OAI doit être confirmé, dès lors qu'il résulte du questionnaire pour l’employeur du 16 avril 2004 (4'451 fr. x 13). b) Revenu avec invalidité Lorsque l'assuré n'a pas repris d'activité professionnelle, ou aucune activité adaptée lui permettant de mettre pleinement en valeur sa capacité de travail résiduelle, contrairement à ce qui serait raisonnablement exigible de sa part dans un marché du travail équilibré, le revenu d'invalide doit être déterminé selon les données statistiques. Il convient donc de se référer aux données salariales, telles qu'elles résultent des enquêtes sur la structure des salaires de l'Office fédéral de la statistique (ATF 129 V 472 consid. 4.2.1; TF 9C_900/2009 du 27 avril 2010, consid. 3.3). Cela permet aussi de prendre en compte les données d'un marché équilibré du travail, l'assuré devant mettre à profit toute sa capacité résiduelle de travail objective dans le cadre de son obligation de diminuer le dommage. Pour évaluer l'invalidité, il convient de se référer à la statistique des salaires bruts standardisés, en se fondant toujours sur la médiane ou valeur centrale. En outre, pour effectuer la comparaison des revenus, il y a lieu, selon la jurisprudence, de se placer, au moment du début du droit éventuel à la rente, donc dans la plupart des cas à l'échéance du délai d'attente d'une année (cf. art. 28 al. 1 let. b LAI; ATF 129 V 222; TF 8C_40/2009 du 13 mars 2009, consid. 1). Dans la mesure où l’intéressée a présenté une</w:t>
      </w:r>
    </w:p>
    <w:p>
      <w:r>
        <w:t>- 19 - incapacité de travail durable depuis le mois de mars 2003, il convient d'arrêter ici l'année de référence à 2004. En l'espèce, le salaire de référence est celui auquel peuvent prétendre les femmes effectuant des activités simples et répétitives dans le secteur privé (production et services), soit en 2004, 3'893 fr. par mois, part au 13ème salaire comprise (cf. Enquête suisse sur la structure des salaires 2004, TA1; niveau de qualification 4). Comme les salaires bruts standardisés tiennent compte d'un horaire de travail de quarante heures, soit une durée hebdomadaire inférieure à la moyenne usuelle dans les entreprises en 2004 (41,6 heures; cf. La vie économique 6/2009, p. 86, tableau B 9.2.), ce montant doit être porté à 4'048 fr. 72, ce qui donne un salaire annuel de 48'584 fr. 64. Compte tenu de la capacité de travail exigible de 50% dans une activité adaptée à compter du mois de mars 2003, le revenu sans invalidité doit être réduit de moitié, atteignant ainsi un montant annuel de 24'292 fr. 32.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 à 25% (ATF 134 V 322 consid. 5.2). Dans le cas présent, c'est à juste titre que l'OAI admet en procédure de recours de réduire le revenu d'invalide au vu de l'âge de la recourante et du fait qu'elle a travaillé pendant près de vingt ans auprès du même employeur. Il convient toutefois de prendre également en</w:t>
      </w:r>
    </w:p>
    <w:p>
      <w:r>
        <w:t>- 20 - compte les limitations fonctionnelles de l'assurée et son analphabétisme, de sorte qu'un abattement de 15% paraît adéquat. Le revenu annuel avec invalidité s'élève par conséquent à 20'648 fr. 47. c) Comparé au revenu sans invalidité de la même période, il donne un taux d'invalidité de 64,31%, arrondi à 64% (ATF 130 V 121), qui se calcule comme suit : (57'863 fr. – 20'648 fr. 47) x 100 57'863 fr. Ce taux, supérieur à 60%, ouvre le droit à trois quarts de rente d'invalidité (cf. art. 28 al. 2 LAI). 5. En définitive, le recours, bien fondé, doit être admis et la décision attaquée réformée en ce sens que la recourante a droit à trois quarts de rente d'invalidité dès le 1er mars 2004. La recourante, qui obtient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1’500 fr. et de les mettre à la charge de l’OAI, qui succombe (art. 55 al. 2 LPA-VD). Il n’y a pas lieu de percevoir de frais judiciaires in casu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