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ZD08.014067 vom 16. März 2010</w:t>
      </w:r>
    </w:p>
    <w:p>
      <w:r>
        <w:t>VD Tribunal cantonal, 2010-03-16, FR</w:t>
      </w:r>
    </w:p>
    <w:p>
      <w:r>
        <w:rPr>
          <w:b/>
        </w:rPr>
        <w:t xml:space="preserve">Quelle: </w:t>
      </w:r>
      <w:r>
        <w:t>https://mcp.opencaselaw.ch/entscheid/vd_gerichte_ZD08.014067</w:t>
      </w:r>
    </w:p>
    <w:p>
      <w:r>
        <w:t>FR: VD_GERICHTE ZD08.014067 du 16 mars 2010</w:t>
      </w:r>
    </w:p>
    <w:p>
      <w:r>
        <w:t>IT: VD_GERICHTE ZD08.014067 del 16 marzo 2010</w:t>
      </w:r>
    </w:p>
    <w:p>
      <w:pPr>
        <w:pStyle w:val="Heading2"/>
      </w:pPr>
      <w:r>
        <w:t>Erwägungen</w:t>
      </w:r>
    </w:p>
    <w:p>
      <w:r>
        <w:rPr>
          <w:b/>
        </w:rPr>
        <w:t>E. 6</w:t>
      </w:r>
    </w:p>
    <w:p>
      <w:r>
        <w:t>Le recourant conteste ensuite le taux d'invalidité retenu de 18 %, singulièrement sur les montants des revenus avec et sans invalidité déterminants pour la comparaison des revenus prévue à l'art. 16 LPGA. a) En règle générale, le revenu hypothétique de la personne valide se détermine en établissant au degré de la vraisemblance prépondérante ce qu'elle aurait effectivement pu réaliser au moment déterminant si elle était en bonne santé (ATF 129 V 224 consid. 4.3.1 et la</w:t>
      </w:r>
    </w:p>
    <w:p>
      <w:r>
        <w:t>- 16 -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(Meyer-Blaser, Bundesgesetz über die Invalidenversicherung (IVG), 1997, p. 205 et 206). Pour déterminer le revenu que l'on peut encore raisonnablement attendre de l'assuré en dépit de son atteinte à la santé (revenu d'invalide), il doit être tenu compte avant tout de la situation professionnelle concrète de l'intéressé. En l'absence d'un revenu effectivement réalisé - soit lorsque l'assuré, après la survenance de l'atteinte à la santé, n'a pas repris d'activité ou alors aucune activité adaptée, normalement exigible - la jurisprudence admet la possibilité de se référer aux données statistiques, telles qu'elles résultent de l'enquête sur la structure des salaires (ESS) publiée par l'Office fédéral de la statistique (TFA I 654/04 du 21 juillet 2005, consid 5, ATF 126 V 76 consid. 3b/aa et bb). On se réfère alors à la statistique des salaires bruts standardisés, en se fondant toujours sur la médiane ou valeur centrale (ATF 124 V 323 consid. 3b/bb). Dans ce cas, on réduira le montant des salaires ressortant de ces données en fonction des empêchements propres à la personne de l'invalide, tels que le handicap, l'âge, les années de service, la nationalité, la catégorie d'autorisation de séjour ou le taux d'occupation (ATF 126 V 75 consid. 5b/aa-cc). Toutefois, de telles déductions ne doivent pas être effectuées de manière schématique, mais tenir compte de l'ensemble des circonstances du cas particulier, et s'échelonnent entre 10 % et 25 % au maximum. b) Le recourant critique le gain réalisable dans une activité adaptée, tel qu'il a été fixé par l'intimé sur la base des données économiques statistiques, soit 51'532 fr. 40 par année et qui conduit, en comparaison du revenu de 63'115 fr. par année qu'il aurait obtenu chez son ancien employeur, montant qu'il ne conteste pas, à un degré d'invalidité de 18 %.</w:t>
      </w:r>
    </w:p>
    <w:p>
      <w:r>
        <w:t>- 17 - Les données économiques statistiques auxquelles s'est référé l'intimé tiennent compte d'un large éventail d'activités simples et répétitives existant sur le marché du travail et dont un bon nombre est adapté aux handicaps de l'assuré pour qu'il puisse mettre à profit sa capacité de travail exigible. Compte tenu de l'activité de substitution raisonnablement exigible de la part du recourant, seul le niveau de qualification 4 correspondant aux activités simples et répétitives entre ici en considération, à savoir 4'588 fr. (valeur en 2004), part au 13ème salaire comprise (ESS 2004, TA1, niveau de qualification 4). Ce salaire hypothétique représente, compte tenu du fait que les salaires bruts standardisés se basent sur un horaire de travail de 40 heures, soit une durée hebdomadaire inférieure à la moyenne usuelle dans les entreprises en 2004 (41.6; Vie économique 10-2006, p. 90, tableau B 9.2), un revenu annuel de 57'258.24 fr. (4'771.52 X 12). A ce salaire, il convient encore, conformément à la jurisprudence, d’appliquer un facteur de réduction. L’intimé a retenu à cet égard un abattement de 10 % en raison du « handicap » du recourant. La Cour de céans n'a aucun motif pertinent de s'écarter de cette appréciation. La déduction de 10 %, qui apparaît adéquate, tient en effet compte de l'ensemble des facteurs déterminants dans le cas d'espèce, soit en particulier de l’activité légère seule possible Compte tenu d'un abattement de 10 %, le revenu annuel d'invalide évalué sur la base des statistiques salariales est ainsi de 51'532 fr. 40 (valeur 2004). Il résulte de la comparaison des revenus avec et sans invalidité que le recourant présente une perte de gain de 11'582 fr. 60 (63'115 fr - 51'532 fr. 40), correspondant à un degré d’invalidité de 18 %, insuffisant pour ouvrir le droit à une rente de l’assurance-invalidité.</w:t>
      </w:r>
    </w:p>
    <w:p>
      <w:r>
        <w:rPr>
          <w:b/>
        </w:rPr>
        <w:t>E. 7</w:t>
      </w:r>
    </w:p>
    <w:p>
      <w:r>
        <w:t>Ainsi au regard des principes légaux et jurisprudentiels rappelés plus haut, le dossier s'avère complet pour statuer sur la demande de rente, de sorte qu'il n'y a pas lieu d'ordonner un complément d'instruction sous la forme d'une nouvelle expertise médicale requise par</w:t>
      </w:r>
    </w:p>
    <w:p>
      <w:r>
        <w:t>- 18 - le recourant. La décision attaquée n'est, par conséquent, pas critiquable dans son résultat et doit être confirmée, ce qui conduit au rejet du recours.</w:t>
      </w:r>
    </w:p>
    <w:p>
      <w:r>
        <w:rPr>
          <w:b/>
        </w:rPr>
        <w:t>E. 8</w:t>
      </w:r>
    </w:p>
    <w:p>
      <w:r>
        <w:t>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250 fr. et être mis à la charge du recourant, qui succombe (art. 49 LPA-VD).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