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ZD08.011932 vom 9. November 2010</w:t>
      </w:r>
    </w:p>
    <w:p>
      <w:r>
        <w:t>VD Tribunal cantonal, 2010-11-09, FR</w:t>
      </w:r>
    </w:p>
    <w:p>
      <w:r>
        <w:rPr>
          <w:b/>
        </w:rPr>
        <w:t xml:space="preserve">Quelle: </w:t>
      </w:r>
      <w:r>
        <w:t>https://mcp.opencaselaw.ch/entscheid/vd_gerichte_ZD08.011932</w:t>
      </w:r>
    </w:p>
    <w:p>
      <w:r>
        <w:t>FR: VD_GERICHTE ZD08.011932 du 9 novembre 2010</w:t>
      </w:r>
    </w:p>
    <w:p>
      <w:r>
        <w:t>IT: VD_GERICHTE ZD08.011932 del 9 novembre 2010</w:t>
      </w:r>
    </w:p>
    <w:p>
      <w:pPr>
        <w:pStyle w:val="Heading2"/>
      </w:pPr>
      <w:r>
        <w:t>Erwägungen</w:t>
      </w:r>
    </w:p>
    <w:p>
      <w:r>
        <w:rPr>
          <w:b/>
        </w:rPr>
        <w:t>E. 1</w:t>
      </w:r>
    </w:p>
    <w:p>
      <w:r>
        <w:t>En ce qui concerne l'exigibilité de 100% dans une activité adaptée, celle-ci se base sur des éléments médicaux, compte tenu du fait que l'assuré exagère ses difficultés, alors que des éléments</w:t>
      </w:r>
    </w:p>
    <w:p>
      <w:r>
        <w:t>- 5 - objectifs de l'anamnèse et du status démontrent que l'assuré utilise son membre supérieur gauche alors qu'il prétend être monomanuel. La divergence d'appréciation avec celle du Dr K.________ repose sur le fait que dans l'économie normale une telle activité n'existe pas, ou alors que dans une activité épargnant un membre supérieur, le rendement ne peut dépasser 50% dans une activité à plein temps. Le SMR aurait dû indiquer que la capacité exigible à 100% dans une activité adaptée pour autant qu'une telle activité existe dans le monde économique normal. Dès lors, au vu de ces derniers éléments nous pouvons nous rallier à l'avis du Dr K.________ du 14.03.06, à savoir que l'assuré a une exigibilité de 50% pour autant que l'assuré collabore à sa réinsertion. […]" Dans une correspondance médicale du 3 janvier 2007 adressée à l'OAI, le Dr T.________ a mentionné que les séquelles concernant la main dominante de l'assuré étaient telles que ce dernier ne pouvait espérer retrouver une activité non manuelle ou unimanuelle. Par décision du 6 mars 2008, l'OAI a alloué à l'assuré une rente d'invalidité entière à partir du 1er janvier 2004 et un quart de rente dès le 1er octobre 2004. B. B.________, représenté par Me Cereghetti Zwahlen, dépose un recours le 21 avril 2008 contre la décision rendue le 6 mars 2008. Il conclut, sous suite de dépens, à l'annulation de la décision attaquée, soit à l'octroi d'une rente AI entière. Le recourant conteste la décision de l'OAI ne lui reconnaissant une rente complète que pour une période très limitée, puis uniquement un quart de rente depuis le 1er octobre 2004. Il soutient qu'il présente une capacité de travail exigible de 50% et non de 100% selon l'avis convergent des médecins, ce qui aboutit à un degré d'invalidité de 71,02%, compte tenu d'un abattement de 25%, d'un revenu sans invalidité de 74'100 francs et d'un revenu d'invalide de 21'471 fr. 85. Selon expertise médicale judiciaire du 6 mai 2009, le Dr P.________, spécialiste FMH en chirurgie de la main et chirurgie plastique reconstructive et esthétique au Centre de [...] à [...], pose les diagnostics de sacrome épithélioïde du médius gauche, status après amputation du 3ème rayon de la main gauche, ankylose et déformation des 2ème et 4ème rayons de la main gauche, troubles fonctionnels de la main gauche et</w:t>
      </w:r>
    </w:p>
    <w:p>
      <w:r>
        <w:t>- 6 - douleurs neurogènes de la main gauche. L'expert judiciaire fait les observations suivantes: "[…]</w:t>
      </w:r>
    </w:p>
    <w:p>
      <w:r>
        <w:rPr>
          <w:b/>
        </w:rPr>
        <w:t>E. 6</w:t>
      </w:r>
    </w:p>
    <w:p>
      <w:r>
        <w:t>Quelles sont les conséquences physiques et neurologiques de ces affections et de ces interventions chirurgicales? Impotence fonctionnelle majeure de la main gauche (main dominante), laquelle n'est plus utilisable que comme main presse- papier ou comme appui léger.</w:t>
      </w:r>
    </w:p>
    <w:p>
      <w:r>
        <w:rPr>
          <w:b/>
        </w:rPr>
        <w:t>E. 7</w:t>
      </w:r>
    </w:p>
    <w:p>
      <w:r>
        <w:t>Quelles sont les douleurs résiduelles qui y sont associées? Douleurs de type neurogène après section des nerfs digitaux communs des 2ème et 3ème espaces. Ces douleurs fluctuent entre 3 et 6 sur 10 sur une échelle visuelle analogue. Ces douleurs sont présentes au repos et sont augmentées par l'activité; elles ont une influence sur l'endurance et la capacité de concentration du patient. Quelles sont les limitations fonctionnelles détaillées qui en résultent? La main gauche n'est utilisable que pour stabiliser des objets légers sur un plan fixe, en utilisant le bord cubital de la main (maintien d'une feuille de papier sur une table par exemple). Toutes les activités bi-manuelles nécessitant une force supérieure à 1 kg ou des gestes de préhension fine sont impossibles. Il va de soi que les activités en hauteur sont proscrites. Il est préférable d'éviter un environnement froid, les douleurs risquant d'en être aggravées.</w:t>
      </w:r>
    </w:p>
    <w:p>
      <w:r>
        <w:rPr>
          <w:b/>
        </w:rPr>
        <w:t>E. 9</w:t>
      </w:r>
    </w:p>
    <w:p>
      <w:r>
        <w:t>Dans quelle mesure le recourant exerce-t-il une compensation fonctionnelle par la main droite non dominante? La main droite compense la main gauche pour tous les gestes de préhension grossière et pour les manipulations ne nécessitant pas une dextérité importante. Les activités manuelles fines autres que la préhension simple d'objets entre le pouce et les autres doigts ne peuvent être exigés. La main droite est utilisable pour manipuler des commandes et pour utiliser un clavier d'ordinateur ou une souris. L'écriture est possible, de manière limitée, soit plutôt pour des inscriptions que pour véritablement écrire un texte.</w:t>
      </w:r>
    </w:p>
    <w:p>
      <w:r>
        <w:rPr>
          <w:b/>
        </w:rPr>
        <w:t>E. 10</w:t>
      </w:r>
    </w:p>
    <w:p>
      <w:r>
        <w:t>Concrètement, quel est le rendement qui peut être exigé du recourant dans le cadre de son activité habituelle? Les troubles présentés par le recourant sont-ils de nature à empêcher l'activité professionnelle habituelle totalement ou partiellement? Pour quel motif et depuis quelle date? En cas d'empêchement partiel selon quel taux et en pourcent? Dans le cadre de son activité habituelle, le rendement du recourant est nul depuis le 21 février 2003.</w:t>
      </w:r>
    </w:p>
    <w:p>
      <w:r>
        <w:rPr>
          <w:b/>
        </w:rPr>
        <w:t>E. 11</w:t>
      </w:r>
    </w:p>
    <w:p>
      <w:r>
        <w:t>Les troubles présentés par le recourant sont-ils de nature à empêcher totalement tout autre activité lucrative? Pour quel motif et depuis quelle date? […] Dans une activité adaptée avec un rendement de 50%, une activité lucrative est possible à compter du 1er février 2004. Il s'agit ici d'une activité théorique, il convient également de considérer les possibilités réelles de proposer une occupation adaptée sur le marché du travail. […]</w:t>
      </w:r>
    </w:p>
    <w:p>
      <w:r>
        <w:rPr>
          <w:b/>
        </w:rPr>
        <w:t>E. 15</w:t>
      </w:r>
    </w:p>
    <w:p>
      <w:r>
        <w:t>Des mesures d'ordre professionnel sont-elles de nature à permettre au recourant d'exercer une activité lucrative? Compte tenu de sa formation très limitée et de ses modestes capacités intellectuelles, il est peut probable que de telles mesures puissent améliorer les capacités professionnelles du recourant."</w:t>
      </w:r>
    </w:p>
    <w:p>
      <w:r>
        <w:t>- 7 - Selon avis médical SMR du 12 août 2009 produit par l'OAI, lequel avis s'en remet à justice, il appartient aux spécialistes en réadaptation de déterminer si les appréciations médico-théoriques des différents médecins consultés peuvent entrer en considération compte tenu d'activités possibles dans le monde du travail. Dans ses déterminations du 23 septembre 2009, l'OAI relève en substance ce qui suit: "Le Dr K.________ parle d'une exigibilité théorique non applicable, car il est selon lui peu vraisemblable qu'une activité professionnelle parfaitement adaptée existe sur le marché du travail. En fonction de ces éléments, il conclut à une diminution de rendement de 50%. Cette appréciation repose sur des considérations qui vont au-delà de l'aspect médical et sur lesquelles il ne lui appartenait pas de se prononcer. L'appréciation du Dr P.________ ne repose également pas que sur les éléments objectifs du status, mais également sur des éléments extra-médicaux tels que le niveau scolaire, l'âge et la méconnaissance de la langue française. Pour notre part, nous estimons que du point de vue purement médical, la capacité de travail est entière dans une activité adaptée de type monomanuel. A cet égard, on doit convenir qu'il existe, selon la jurisprudence, un certain nombre d'activités qui ne nécessitent pas l'utilisation des deux mains, et qui sont adaptées à l'état de santé du recourant." E n d r o i t : 1. a) En vertu de l'art. 1 al. 1 LAI (loi fédérale du 19 juin 1959 sur l'assurance-invalidité, RS 831.20), les dispositions de la LPGA (loi fédérale du 6 octobre 2000 sur la partie générale du droit des assurances sociales, RS 830.1) s'appliquent à l'assurance-invalidité (art. 1a à 26bis et 28 à 70 LAI), à moins que dite loi ne déroge expressément à la LPGA. L'art. 56 LPGA stipule que les décisions sur opposition et celles contres lesquelles la voie de l'opposition n'est pas ouverte sont sujettes à recours. Aux termes de l'art. 69 al. 1 let. a LAI, les décisions des Offices AI peuvent directement faire l'objet d'un recours devant le tribunal des assurances du domicile de l'Office concerné. Interjeté dans le délai légal de trente jours dès la notification de la décision entreprise, le recours est</w:t>
      </w:r>
    </w:p>
    <w:p>
      <w:r>
        <w:t>- 8 - déposé en temps utile (art. 60 al. 1 LPGA). Il est de surcroît recevable en la forme (art. 61 let. b LPGA). b) La LPA-VD (loi cantonale vaudoise du 28 octobre 2008 sur la procédure administrative, RSV 173.36), entrée en vigueur le 1er janvier 2009 et qui s'applique aux recours dans le domaine des assurances sociales (art. 1 et 2 al. 1 let. c LPA-VD), est immédiatement applicable dans la présente cause (voir la disposition transitoire de l'art. 117 al. 1 LPA-VD). La Cour des assurances sociales du Tribunal cantonal est compétente pour statuer (art. 57 LPGA et 93 al. 1 let. a LPA-VD). 2. La décision attaquée réduit, dès le 1er octobre 2004, à un quart de rente la rente AI entière précédemment à compter 1er janvier 2004. Le recours tend à l'annulation de la décision de l'OAI du 6 mars 2008, respectivement à l'octroi d'une rente AI entière. 3. a) Lorsqu'il s'agit d'examiner dans quelle mesure un assuré peut encore exploiter économiquement sa capacité de gain résiduelle sur le marché du travail entrant en considération pour lui (cf. l'art. 28 al. 2 LAI [dans sa teneur en vigueur jusqu'au 31 décembre 2002; depuis le 1er janvier 2003,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296 consid. 3b et les références). Sur le marché du travail entrant en considération, on doit convenir qu'il existe un certain nombre d'activités qui ne nécessitent pas l'utilisation des deux mains, partant qui sont adaptées à son état de santé. On peut ainsi évoquer des tâches simples de surveillance, de vérification ou de contrôle, ou d'autres qui consistent à approvisionner et à surveiller des machines ou</w:t>
      </w:r>
    </w:p>
    <w:p>
      <w:r>
        <w:t>- 9 - des unités de production automatiques ou semi-automatiques (voir également arrêt TFA I 394/2004 du 2 février 2005, consid. 3.2 et les références; cf. art. 16 LPGA; ATF 132 V 393 consid. 3.2 et TF 9C_1016/2008 du 2 février 2009). b)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et 105 V 158 consid. 1 in fine). 4. En l'espèce, les différents médecins consultés ont des avis divergents s'agissant de la nature des lésions de l'assuré ainsi que des limitations fonctionnelles. Le litige repose en l'occurrence sur la différence d'appréciation entre les parties de la capacité de travail résiduelle exigible avec, d'un côté, les avis concordants du chirurgien traitant (le Dr T.________) et des experts externes (le Dr K.________, l'expertise [...] et l'expertise judiciaire du Dr P.________) et, de l'autre, l'examen clinique SMR du 10 novembre 2005 de la Dresse S.________. Celle-ci a manifestement considéré que le recourant exagérait à dessein ses plaintes, l'absence d'amyotrophie et le trophicité tégumentaire de la main lui permettant d'affirmer que "l'assuré utilise bel et bien sa main [gauche] pour de nombreuses activités". Ce médecin estime donc, sur cette seule base, que le recourant est capable d'exercer une activité lucrative adaptée à un taux de 100%.</w:t>
      </w:r>
    </w:p>
    <w:p>
      <w:r>
        <w:t>- 10 - En ce qui concerne l'amytrophie, l'expert judiciaire a relevé qu'il était avéré scientifiquement que seules la dénervation ou l'absence totale de mouvements entraînent une perte significative de la masse musculaire. Les périmètres actuellement mesurés montrent une diminution modérée de la masse musculaire de l'avant-bras gauche, compatible avec une sous-utilisation relative. Le maintien des masses musculaires de la main, auparavant dominante, s'explique par l'absence de dénervation (il n'y a pas de paralysie) et la présence d'une activité d'appui ou de contre-appui qui, même minimale, est suffisante. Il n'y a pas actuellement de marques de travail au niveau des téguments de la main gauche pouvant faire évoquer un usage caché de celle-ci. La Dresse S.________ n'a en outre pas pris en considération l'influence de la douleur sur la capacité de travail du recourant. A cet égard, l'expert judiciaire relève qu'il y a, sans aucun doute, un état douloureux de la main gauche, d'origine neurogène (consécutif à la section des rameaux du nerf médian se rendant au médius et aux doigts adjacents), influençant négativement la capacité de travail et de concentration de l'assuré. Il a également souligné que la capacité de travail résiduelle raisonnablement exigible doit tenir compte des capacités d'adaptation; en l'occurrence, celles-ci ont été évaluées par un organisme agrée et compétent en la matière et ont été reconnues comme étant faibles. A l'exception de l'avis médical SMR de la Dresse S.________ du 10 novembre 2005, l'ensemble des autres rapports médicaux s'accordent pour retenir une capacité de travail ou un taux de rendement de 50% dans une activité adaptée légère, qui pourrait même être théoriquement non manuelle. Toutefois, dans une activité uniquement non manuelle, les experts s'accordent sur le fait que l'assuré ne dispose pas des capacités suffisantes pour l'exercer et que des mesures professionnelles seraient vouées à l'échec compte tenu notamment de la formation limitée de celui- ci. On relèvera également qu'au final, la Dresse S.________ se rallie dans l'avis SMR complémentaire du 2 mai 2006, à l'appréciation du Dr K.________ et qu'à la suite de l'expertise judiciaire du Dr P.________, le SMR a déclaré s'en remettre à l'appréciation de la présente Cour. Malgré les avis médicaux concordants, l'OAI soutient finalement que d'un point de</w:t>
      </w:r>
    </w:p>
    <w:p>
      <w:r>
        <w:t>- 11 - vue médical la capacité de travail du recourant est entière dans une activité adaptée de type monomanuel. A l'en croire, les médecins consultés auraient non seulement tenu compte d'éléments objectifs du status, mais également de facteurs extra-médicaux tels que le niveau scolaire, l'âge ou la méconnaissance du recourant de la langue française. A vrai dire, on peine à comprendre le raisonnement de l'intimé dans la mesure où il admet lui-même que l'appréciation de la capacité de travail par les médecins consultés s'appuie notamment sur le status objectif du recourant. L'OAI ne saurait dès lors retenir sans autre une capacité de travail entière dans une activité monomanuelle. Il convient au contraire de retenir une capacité de travail de 50% dans une activité adaptée légère (des tâches simples de surveillance par exemple) selon l'avis concordant des médecins consultés, lesquels avis ne sont pas basés de manière prédominante sur des facteurs inhérents à la personne du recourant et étrangers à la fixation de l'invalidité. En effet, le Dr K.________ a constaté que la compensation fonctionnelle de la perte de l'utilisation de la main dominante gauche par la main droite était très médiocre et ne permettait pas, entre autres limitations, d'activités précises ou l'emploi de la force. Selon le Dr P.________, la main droite compense la main gauche pour tous les gestes de préhension grossière et les manipulations ne nécessitant pas une dextérité trop importante. Les activités monomanuelles simples telles que l'OAI les entend n'étaient donc pas d'un point de vue médical adaptées pour une capacité de travail de 100% mais de 50%. Quant aux activités non manuelles, elles restaient théoriquement accessibles à 50% (problème supplémentaire d'écriture et de niveau insuffisant pour de telles activités). Au surplus, les Drs K.________ et P.________ ont clairement établi que l'utilisation de son membre supérieur gauche par l'assuré était impossible, la main en question ne pouvant être employée que comme presse-papier ou comme appui léger. Ces praticiens ont surtout relevé des douleurs importantes de type neurogène qui sont présentes au repos, augmentées par toute activité et influençant l'endurance et la capacité de concentration du recourant. Les activités en hauteur et dans un environnement froid étaient en outre à proscrire.</w:t>
      </w:r>
    </w:p>
    <w:p>
      <w:r>
        <w:t>- 12 - 5. a) Le droit applicable au fond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129 V 1 consid. 1.2; TFA I 274/2005 du 21 mars 2006, consid. 1.1). A la suite de l'entrée en vigueur le 1er janvier 2004 des dispositions de la novelle du 21 mars 2003 modifiant la LAI (4e révision de l'AI), l'échelonnement des rentes a été affiné. Aux termes de l'art. 28 al. 1 LAI (applicable du 1er janvier 2004 au 31 décembre 2007, cf. également actuel art. 28 al. 2 LAI [selon 5e révision de l'AI en vigueur depuis le 1er janvier 2008]), l'assuré a droit à une rente entière s'il est invalide à 70% au moins, à trois quarts de rente s'il est invalide à 60% au moins, à une demi-rente s'il est invalide à 50% au moins et à un quart de rente s'il est invalide à 40% au moins (TF 9C_93/2008 du 19 janvier 2009, consid. 2.2). b) En l'espèce, il ressort du questionnaire rempli par l'employeur que l'assuré réalisait, en tant que vitrier qualifié avant la survenance de l'invalidité, un revenu annuel brut de 70'920 fr. 20 (2003). Partant il y a lieu de retenir qu'au terme de l'année d'attente, soit pour 2004, le recourant aurait pu réaliser un revenu annuel moyen brut sans invalidité de 74'100 francs. S'agissant du revenu annuel avec invalidité entrant en considération au terme de l'année d'attente, soit pour 2004, celui-ci s'élève pour une activité exercée à plein temps, à 57'258 fr. 24 (valeur brute moyenne selon Enquête Suisse sur la Structure des salaires [ESS] 2004, tableau TA 1, secteur 1, niveau de qualification 4, adaptée en fonction d'une durée hebdomadaire moyenne de 41,6 heures [cf. LA Vie économique 12-2009, tableau B 9.2, p. 98]). Considérant la capacité résiduelle de 50% du recourant, le revenu d'invalide pour 2004 est de 28'629 fr. 12 (57'258 fr. 24/2). Il importe encore pour la détermination exacte du revenu d'invalide, de retrancher du montant précité, un abattement de 15% tenant compte de l'ensemble des limitations</w:t>
      </w:r>
    </w:p>
    <w:p>
      <w:r>
        <w:t>- 13 - fonctionnelles du recourant (la Cour de céans se distancie ici des 25% retenus à titre d'abattement dans la décision litigieuse, étant posé qu'il est déjà tenu compte des problèmes d'âge, de maîtrise de la langue et du peu de formation du recourant dans la baisse de rendement de 50% prise en considération). En définitive, le revenu d'invalide devant être retenu s'élève en réalité à 24'334 fr. 75 (28'629 fr. 12x85/100). Après comparaison entre les revenus sans et avec invalidité rentrant en considération, respectivement 74'100 fr. et 24'334 fr. 75, il appert un taux d'invalidité arrondi de 67% (ATF 130 V 121 consid. 3.2) ouvrant droit au recourant à un trois quart de rente AI depuis le 1er octobre 2004 (cf. art. 28 al. 1 LAI dans sa teneur en vigueur du 1er janvier 2004 au 31 décembre 2007). 6. a) Au vu de ce qui précède, le recours s'avère partiellement bien fondé, la décision attaquée étant réformée en ce sens que le recourant a droit à un trois quart de rente depuis le 1er octobre 2004, l'octroi d'une rente entière à compter du 1er janvier 2004 étant au surplus confirmé. b) Il reste dès lors à statuer sur les frais et dépens (art. 91 LPA-VD applicable par renvoi de l'art. 99 LPA-VD). En dérogation à l'art. 61 let. a LPGA, la procédure de recours en matière de contestations portant sur l'octroi de prestations de l'AI devant le tribunal cantonal des assurances est en principe soumise à des frais de justice (art. 69 al. 1bis LAI). Cependant, compte tenu du résultat d'espèce, la Cour de céans renonce à percevoir de tels frais (art. 50 LPA- VD). Obtenant partiellement gain de cause, le recourant, assisté d'un mandataire professionnel, a droit à des dépens, arrêtés à 2'000 francs (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